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6D9D9">
      <w:pPr>
        <w:tabs>
          <w:tab w:val="center" w:pos="4153"/>
        </w:tabs>
        <w:spacing w:before="0" w:beforeLines="0" w:after="0" w:afterLines="0" w:line="360" w:lineRule="auto"/>
        <w:jc w:val="center"/>
        <w:outlineLvl w:val="9"/>
        <w:rPr>
          <w:b/>
          <w:bCs/>
          <w:color w:val="000000"/>
          <w:sz w:val="32"/>
          <w:szCs w:val="32"/>
        </w:rPr>
      </w:pPr>
      <w:r>
        <w:rPr>
          <w:b/>
          <w:bCs/>
          <w:color w:val="000000"/>
          <w:sz w:val="32"/>
          <w:szCs w:val="32"/>
        </w:rPr>
        <w:t>福建广生堂药业股份有</w:t>
      </w:r>
      <w:bookmarkStart w:id="2" w:name="_GoBack"/>
      <w:bookmarkEnd w:id="2"/>
      <w:r>
        <w:rPr>
          <w:b/>
          <w:bCs/>
          <w:color w:val="000000"/>
          <w:sz w:val="32"/>
          <w:szCs w:val="32"/>
        </w:rPr>
        <w:t>限公司</w:t>
      </w:r>
    </w:p>
    <w:p w14:paraId="0BAA8732">
      <w:pPr>
        <w:tabs>
          <w:tab w:val="center" w:pos="4153"/>
        </w:tabs>
        <w:spacing w:before="0" w:beforeLines="0" w:after="312" w:afterLines="100" w:line="360" w:lineRule="auto"/>
        <w:jc w:val="center"/>
        <w:outlineLvl w:val="9"/>
        <w:rPr>
          <w:b/>
          <w:bCs/>
          <w:color w:val="000000"/>
          <w:sz w:val="32"/>
          <w:szCs w:val="32"/>
        </w:rPr>
      </w:pPr>
      <w:r>
        <w:rPr>
          <w:b/>
          <w:bCs/>
          <w:color w:val="000000"/>
          <w:sz w:val="32"/>
          <w:szCs w:val="32"/>
        </w:rPr>
        <w:t>董事会议事规则</w:t>
      </w:r>
    </w:p>
    <w:p w14:paraId="2811499B">
      <w:pPr>
        <w:pStyle w:val="2"/>
        <w:bidi w:val="0"/>
        <w:ind w:left="567" w:leftChars="0" w:hanging="567" w:firstLineChars="0"/>
      </w:pPr>
      <w:r>
        <w:rPr>
          <w:rFonts w:hint="eastAsia"/>
          <w:lang w:val="en-US" w:eastAsia="zh-CN"/>
        </w:rPr>
        <w:t xml:space="preserve"> </w:t>
      </w:r>
      <w:r>
        <w:t>总则</w:t>
      </w:r>
    </w:p>
    <w:p w14:paraId="3A417AE1">
      <w:pPr>
        <w:numPr>
          <w:ilvl w:val="0"/>
          <w:numId w:val="2"/>
        </w:numPr>
        <w:tabs>
          <w:tab w:val="left" w:pos="0"/>
          <w:tab w:val="left" w:pos="1440"/>
        </w:tabs>
        <w:spacing w:line="360" w:lineRule="auto"/>
        <w:ind w:left="0" w:firstLine="482"/>
        <w:rPr>
          <w:color w:val="000000"/>
          <w:szCs w:val="21"/>
        </w:rPr>
      </w:pPr>
      <w:r>
        <w:rPr>
          <w:color w:val="000000"/>
          <w:szCs w:val="21"/>
        </w:rPr>
        <w:t>为规范董事会的决策行为和运作程序，保证公司决策行为的民主化、科学化，建立适应现代市场经济规律和要求的公司治理机制，完善公司的法人治理结构，根据《中华人民共和国公司法》（以下简称“《公司法》”）等法律、法规，以及《福建广生堂药业股份有限公司章程》（以下简称“公司章程”）的有关规定，特制订本规则。</w:t>
      </w:r>
    </w:p>
    <w:p w14:paraId="7D13CCB9">
      <w:pPr>
        <w:tabs>
          <w:tab w:val="left" w:pos="1440"/>
        </w:tabs>
        <w:spacing w:line="360" w:lineRule="auto"/>
        <w:ind w:firstLine="420" w:firstLineChars="200"/>
        <w:rPr>
          <w:color w:val="000000"/>
          <w:szCs w:val="21"/>
        </w:rPr>
      </w:pPr>
      <w:r>
        <w:rPr>
          <w:color w:val="000000"/>
          <w:szCs w:val="21"/>
        </w:rPr>
        <w:t>本规则所涉及到的术语、未载明的事项以及与公司章程相抵触的内容均以公司章程为准，不以公司的其他规章作为解释和引用的条款。</w:t>
      </w:r>
    </w:p>
    <w:p w14:paraId="06FE5781">
      <w:pPr>
        <w:numPr>
          <w:ilvl w:val="0"/>
          <w:numId w:val="2"/>
        </w:numPr>
        <w:tabs>
          <w:tab w:val="left" w:pos="0"/>
          <w:tab w:val="left" w:pos="1440"/>
        </w:tabs>
        <w:spacing w:line="360" w:lineRule="auto"/>
        <w:ind w:left="0" w:firstLine="482"/>
        <w:rPr>
          <w:color w:val="000000"/>
          <w:sz w:val="24"/>
        </w:rPr>
      </w:pPr>
      <w:r>
        <w:rPr>
          <w:color w:val="000000"/>
          <w:szCs w:val="21"/>
        </w:rPr>
        <w:t>公司董事会由股东会选举产生，并对股东会负责。</w:t>
      </w:r>
    </w:p>
    <w:p w14:paraId="666F9F97">
      <w:pPr>
        <w:pStyle w:val="2"/>
        <w:bidi w:val="0"/>
        <w:ind w:left="567" w:leftChars="0" w:hanging="567" w:firstLineChars="0"/>
      </w:pPr>
      <w:r>
        <w:rPr>
          <w:rFonts w:hint="eastAsia"/>
          <w:lang w:val="en-US" w:eastAsia="zh-CN"/>
        </w:rPr>
        <w:t xml:space="preserve"> </w:t>
      </w:r>
      <w:r>
        <w:t>董事会的组成和职权</w:t>
      </w:r>
    </w:p>
    <w:p w14:paraId="634A58BE">
      <w:pPr>
        <w:numPr>
          <w:ilvl w:val="0"/>
          <w:numId w:val="2"/>
        </w:numPr>
        <w:tabs>
          <w:tab w:val="left" w:pos="0"/>
          <w:tab w:val="left" w:pos="1440"/>
        </w:tabs>
        <w:spacing w:line="360" w:lineRule="auto"/>
        <w:ind w:left="0" w:firstLine="482"/>
        <w:rPr>
          <w:color w:val="000000"/>
          <w:szCs w:val="21"/>
        </w:rPr>
      </w:pPr>
      <w:r>
        <w:rPr>
          <w:color w:val="000000"/>
          <w:sz w:val="24"/>
        </w:rPr>
        <w:t>公</w:t>
      </w:r>
      <w:r>
        <w:rPr>
          <w:color w:val="000000"/>
          <w:szCs w:val="21"/>
        </w:rPr>
        <w:t>司设董事会，由9名董事组成，</w:t>
      </w:r>
      <w:r>
        <w:rPr>
          <w:rFonts w:hint="eastAsia"/>
          <w:color w:val="000000"/>
          <w:szCs w:val="21"/>
        </w:rPr>
        <w:t>设董事长1人，独立董事3人</w:t>
      </w:r>
      <w:r>
        <w:rPr>
          <w:rFonts w:hint="eastAsia"/>
          <w:color w:val="000000"/>
          <w:szCs w:val="21"/>
          <w:lang w:eastAsia="zh-CN"/>
        </w:rPr>
        <w:t>，</w:t>
      </w:r>
      <w:r>
        <w:rPr>
          <w:rFonts w:hint="eastAsia"/>
          <w:color w:val="000000"/>
          <w:szCs w:val="21"/>
          <w:lang w:val="en-US" w:eastAsia="zh-CN"/>
        </w:rPr>
        <w:t>职工代表董事1人</w:t>
      </w:r>
      <w:r>
        <w:rPr>
          <w:color w:val="000000"/>
          <w:szCs w:val="21"/>
        </w:rPr>
        <w:t>。</w:t>
      </w:r>
    </w:p>
    <w:p w14:paraId="363B58A6">
      <w:pPr>
        <w:numPr>
          <w:ilvl w:val="0"/>
          <w:numId w:val="2"/>
        </w:numPr>
        <w:tabs>
          <w:tab w:val="left" w:pos="0"/>
          <w:tab w:val="left" w:pos="1440"/>
        </w:tabs>
        <w:spacing w:line="360" w:lineRule="auto"/>
        <w:ind w:left="0" w:firstLine="482"/>
        <w:rPr>
          <w:color w:val="000000"/>
          <w:szCs w:val="21"/>
        </w:rPr>
      </w:pPr>
      <w:r>
        <w:rPr>
          <w:color w:val="000000"/>
          <w:szCs w:val="21"/>
        </w:rPr>
        <w:t xml:space="preserve">董事会行使下列职权： </w:t>
      </w:r>
    </w:p>
    <w:p w14:paraId="1DC4BA2A">
      <w:pPr>
        <w:spacing w:line="360" w:lineRule="auto"/>
        <w:ind w:firstLine="420" w:firstLineChars="200"/>
        <w:rPr>
          <w:szCs w:val="21"/>
        </w:rPr>
      </w:pPr>
      <w:r>
        <w:rPr>
          <w:szCs w:val="21"/>
        </w:rPr>
        <w:t xml:space="preserve">（一）召集股东会会议，并向股东会报告工作； </w:t>
      </w:r>
    </w:p>
    <w:p w14:paraId="1F269947">
      <w:pPr>
        <w:spacing w:line="360" w:lineRule="auto"/>
        <w:ind w:firstLine="420" w:firstLineChars="200"/>
        <w:rPr>
          <w:szCs w:val="21"/>
        </w:rPr>
      </w:pPr>
      <w:r>
        <w:rPr>
          <w:szCs w:val="21"/>
        </w:rPr>
        <w:t xml:space="preserve">（二）执行股东会的决议； </w:t>
      </w:r>
    </w:p>
    <w:p w14:paraId="26D2FF3A">
      <w:pPr>
        <w:spacing w:line="360" w:lineRule="auto"/>
        <w:ind w:firstLine="420" w:firstLineChars="200"/>
        <w:rPr>
          <w:szCs w:val="21"/>
        </w:rPr>
      </w:pPr>
      <w:r>
        <w:rPr>
          <w:szCs w:val="21"/>
        </w:rPr>
        <w:t xml:space="preserve">（三）决定公司的经营计划和投资方案； </w:t>
      </w:r>
    </w:p>
    <w:p w14:paraId="25F0A664">
      <w:pPr>
        <w:spacing w:line="360" w:lineRule="auto"/>
        <w:ind w:firstLine="420" w:firstLineChars="200"/>
        <w:rPr>
          <w:szCs w:val="21"/>
        </w:rPr>
      </w:pPr>
      <w:r>
        <w:rPr>
          <w:szCs w:val="21"/>
        </w:rPr>
        <w:t>（</w:t>
      </w:r>
      <w:r>
        <w:rPr>
          <w:rFonts w:hint="eastAsia"/>
          <w:szCs w:val="21"/>
        </w:rPr>
        <w:t>四</w:t>
      </w:r>
      <w:r>
        <w:rPr>
          <w:szCs w:val="21"/>
        </w:rPr>
        <w:t>）制订公司的利润分配方案和弥补亏损方案；</w:t>
      </w:r>
    </w:p>
    <w:p w14:paraId="1C2C0440">
      <w:pPr>
        <w:spacing w:line="360" w:lineRule="auto"/>
        <w:ind w:firstLine="420" w:firstLineChars="200"/>
        <w:rPr>
          <w:szCs w:val="21"/>
        </w:rPr>
      </w:pPr>
      <w:r>
        <w:rPr>
          <w:szCs w:val="21"/>
        </w:rPr>
        <w:t>（</w:t>
      </w:r>
      <w:r>
        <w:rPr>
          <w:rFonts w:hint="eastAsia"/>
          <w:szCs w:val="21"/>
        </w:rPr>
        <w:t>五</w:t>
      </w:r>
      <w:r>
        <w:rPr>
          <w:szCs w:val="21"/>
        </w:rPr>
        <w:t>）制订公司增加或者减少注册资本、发行债券或其他证券及上市方案；</w:t>
      </w:r>
    </w:p>
    <w:p w14:paraId="35BF1210">
      <w:pPr>
        <w:spacing w:line="360" w:lineRule="auto"/>
        <w:ind w:firstLine="420" w:firstLineChars="200"/>
        <w:rPr>
          <w:szCs w:val="21"/>
        </w:rPr>
      </w:pPr>
      <w:r>
        <w:rPr>
          <w:szCs w:val="21"/>
        </w:rPr>
        <w:t>（</w:t>
      </w:r>
      <w:r>
        <w:rPr>
          <w:rFonts w:hint="eastAsia"/>
          <w:szCs w:val="21"/>
        </w:rPr>
        <w:t>六</w:t>
      </w:r>
      <w:r>
        <w:rPr>
          <w:szCs w:val="21"/>
        </w:rPr>
        <w:t>）</w:t>
      </w:r>
      <w:bookmarkStart w:id="0" w:name="_Hlk199424813"/>
      <w:r>
        <w:rPr>
          <w:szCs w:val="21"/>
        </w:rPr>
        <w:t>拟订公司重大收购、收购本公司股票或者合并、分立、解散及变更公司形式的方案；</w:t>
      </w:r>
    </w:p>
    <w:bookmarkEnd w:id="0"/>
    <w:p w14:paraId="7E24BF9C">
      <w:pPr>
        <w:spacing w:line="360" w:lineRule="auto"/>
        <w:ind w:firstLine="420" w:firstLineChars="200"/>
        <w:rPr>
          <w:szCs w:val="21"/>
        </w:rPr>
      </w:pPr>
      <w:r>
        <w:rPr>
          <w:szCs w:val="21"/>
        </w:rPr>
        <w:t>（</w:t>
      </w:r>
      <w:r>
        <w:rPr>
          <w:rFonts w:hint="eastAsia"/>
          <w:szCs w:val="21"/>
          <w:lang w:val="en-US" w:eastAsia="zh-CN"/>
        </w:rPr>
        <w:t>七</w:t>
      </w:r>
      <w:r>
        <w:rPr>
          <w:szCs w:val="21"/>
        </w:rPr>
        <w:t>）在股东会授权范围内，决定公司对外投资、收购出售资产、提供财务资助、资产抵押、贷款、对外担保事项、租赁或出租资产、委托或受托管理资产、赠与或者受赠资产、债权债务重组、许可协议签订、转让或者受让研究与开发项目、关联交易、对外捐赠、资产报废或坏</w:t>
      </w:r>
      <w:r>
        <w:rPr>
          <w:rFonts w:hint="eastAsia"/>
          <w:szCs w:val="21"/>
          <w:lang w:val="en-US" w:eastAsia="zh-CN"/>
        </w:rPr>
        <w:t>账</w:t>
      </w:r>
      <w:r>
        <w:rPr>
          <w:szCs w:val="21"/>
        </w:rPr>
        <w:t>损失等事项；</w:t>
      </w:r>
    </w:p>
    <w:p w14:paraId="62D7AEAB">
      <w:pPr>
        <w:spacing w:line="360" w:lineRule="auto"/>
        <w:ind w:firstLine="420" w:firstLineChars="200"/>
        <w:rPr>
          <w:szCs w:val="21"/>
        </w:rPr>
      </w:pPr>
      <w:r>
        <w:rPr>
          <w:szCs w:val="21"/>
        </w:rPr>
        <w:t>（</w:t>
      </w:r>
      <w:r>
        <w:rPr>
          <w:rFonts w:hint="eastAsia"/>
          <w:szCs w:val="21"/>
          <w:lang w:val="en-US" w:eastAsia="zh-CN"/>
        </w:rPr>
        <w:t>八</w:t>
      </w:r>
      <w:r>
        <w:rPr>
          <w:szCs w:val="21"/>
        </w:rPr>
        <w:t>）决定公司内部管理机构的设置；</w:t>
      </w:r>
    </w:p>
    <w:p w14:paraId="0754BEA6">
      <w:pPr>
        <w:spacing w:line="360" w:lineRule="auto"/>
        <w:ind w:firstLine="420" w:firstLineChars="200"/>
        <w:rPr>
          <w:szCs w:val="21"/>
        </w:rPr>
      </w:pPr>
      <w:r>
        <w:rPr>
          <w:szCs w:val="21"/>
        </w:rPr>
        <w:t>（</w:t>
      </w:r>
      <w:r>
        <w:rPr>
          <w:rFonts w:hint="eastAsia"/>
          <w:szCs w:val="21"/>
          <w:lang w:val="en-US" w:eastAsia="zh-CN"/>
        </w:rPr>
        <w:t>九</w:t>
      </w:r>
      <w:r>
        <w:rPr>
          <w:szCs w:val="21"/>
        </w:rPr>
        <w:t>）聘任或者解聘公司总经理、董事会秘书；根据总经理的提名，</w:t>
      </w:r>
      <w:r>
        <w:rPr>
          <w:rFonts w:hint="eastAsia"/>
          <w:szCs w:val="21"/>
        </w:rPr>
        <w:t>决定</w:t>
      </w:r>
      <w:r>
        <w:rPr>
          <w:szCs w:val="21"/>
        </w:rPr>
        <w:t>聘任或者解聘公司</w:t>
      </w:r>
      <w:r>
        <w:rPr>
          <w:rFonts w:hint="eastAsia"/>
          <w:szCs w:val="21"/>
        </w:rPr>
        <w:t>首席运营官、首席科学家、</w:t>
      </w:r>
      <w:r>
        <w:rPr>
          <w:szCs w:val="21"/>
        </w:rPr>
        <w:t>副总经理、财务</w:t>
      </w:r>
      <w:r>
        <w:rPr>
          <w:rFonts w:hint="eastAsia"/>
          <w:szCs w:val="21"/>
        </w:rPr>
        <w:t>总监</w:t>
      </w:r>
      <w:r>
        <w:rPr>
          <w:szCs w:val="21"/>
        </w:rPr>
        <w:t>等高级管理人员，并决定其报酬事项和奖惩事项；</w:t>
      </w:r>
    </w:p>
    <w:p w14:paraId="5922A8B1">
      <w:pPr>
        <w:spacing w:line="360" w:lineRule="auto"/>
        <w:ind w:firstLine="420" w:firstLineChars="200"/>
        <w:rPr>
          <w:szCs w:val="21"/>
        </w:rPr>
      </w:pPr>
      <w:r>
        <w:rPr>
          <w:szCs w:val="21"/>
        </w:rPr>
        <w:t>（十）制</w:t>
      </w:r>
      <w:r>
        <w:rPr>
          <w:rFonts w:hint="eastAsia"/>
          <w:szCs w:val="21"/>
          <w:lang w:val="en-US" w:eastAsia="zh-CN"/>
        </w:rPr>
        <w:t>定</w:t>
      </w:r>
      <w:r>
        <w:rPr>
          <w:szCs w:val="21"/>
        </w:rPr>
        <w:t xml:space="preserve">公司的基本管理制度； </w:t>
      </w:r>
    </w:p>
    <w:p w14:paraId="21AE6598">
      <w:pPr>
        <w:spacing w:line="360" w:lineRule="auto"/>
        <w:ind w:firstLine="420" w:firstLineChars="200"/>
        <w:rPr>
          <w:szCs w:val="21"/>
        </w:rPr>
      </w:pPr>
      <w:r>
        <w:rPr>
          <w:szCs w:val="21"/>
        </w:rPr>
        <w:t>（十</w:t>
      </w:r>
      <w:r>
        <w:rPr>
          <w:rFonts w:hint="eastAsia"/>
          <w:szCs w:val="21"/>
          <w:lang w:val="en-US" w:eastAsia="zh-CN"/>
        </w:rPr>
        <w:t>一</w:t>
      </w:r>
      <w:r>
        <w:rPr>
          <w:szCs w:val="21"/>
        </w:rPr>
        <w:t xml:space="preserve">）制订公司章程的修改方案； </w:t>
      </w:r>
    </w:p>
    <w:p w14:paraId="3A7C4326">
      <w:pPr>
        <w:spacing w:line="360" w:lineRule="auto"/>
        <w:ind w:firstLine="420" w:firstLineChars="200"/>
        <w:rPr>
          <w:szCs w:val="21"/>
        </w:rPr>
      </w:pPr>
      <w:r>
        <w:rPr>
          <w:szCs w:val="21"/>
        </w:rPr>
        <w:t>（十</w:t>
      </w:r>
      <w:r>
        <w:rPr>
          <w:rFonts w:hint="eastAsia"/>
          <w:szCs w:val="21"/>
          <w:lang w:val="en-US" w:eastAsia="zh-CN"/>
        </w:rPr>
        <w:t>二</w:t>
      </w:r>
      <w:r>
        <w:rPr>
          <w:szCs w:val="21"/>
        </w:rPr>
        <w:t xml:space="preserve">）管理公司信息披露事项； </w:t>
      </w:r>
    </w:p>
    <w:p w14:paraId="4C28D4DB">
      <w:pPr>
        <w:spacing w:line="360" w:lineRule="auto"/>
        <w:ind w:firstLine="420" w:firstLineChars="200"/>
        <w:rPr>
          <w:szCs w:val="21"/>
        </w:rPr>
      </w:pPr>
      <w:r>
        <w:rPr>
          <w:szCs w:val="21"/>
        </w:rPr>
        <w:t>（十</w:t>
      </w:r>
      <w:r>
        <w:rPr>
          <w:rFonts w:hint="eastAsia"/>
          <w:szCs w:val="21"/>
          <w:lang w:val="en-US" w:eastAsia="zh-CN"/>
        </w:rPr>
        <w:t>三</w:t>
      </w:r>
      <w:r>
        <w:rPr>
          <w:szCs w:val="21"/>
        </w:rPr>
        <w:t>）向股东会提请聘请或更换为公司审计的会计师事务所；</w:t>
      </w:r>
    </w:p>
    <w:p w14:paraId="557ABD69">
      <w:pPr>
        <w:spacing w:line="360" w:lineRule="auto"/>
        <w:ind w:firstLine="420" w:firstLineChars="200"/>
        <w:rPr>
          <w:szCs w:val="21"/>
        </w:rPr>
      </w:pPr>
      <w:r>
        <w:rPr>
          <w:szCs w:val="21"/>
        </w:rPr>
        <w:t>（十</w:t>
      </w:r>
      <w:r>
        <w:rPr>
          <w:rFonts w:hint="eastAsia"/>
          <w:szCs w:val="21"/>
          <w:lang w:val="en-US" w:eastAsia="zh-CN"/>
        </w:rPr>
        <w:t>四</w:t>
      </w:r>
      <w:r>
        <w:rPr>
          <w:szCs w:val="21"/>
        </w:rPr>
        <w:t xml:space="preserve">）听取公司总经理的工作汇报并检查总经理的工作； </w:t>
      </w:r>
    </w:p>
    <w:p w14:paraId="60C1358A">
      <w:pPr>
        <w:spacing w:line="360" w:lineRule="auto"/>
        <w:ind w:firstLine="420" w:firstLineChars="200"/>
        <w:rPr>
          <w:szCs w:val="21"/>
        </w:rPr>
      </w:pPr>
      <w:r>
        <w:rPr>
          <w:szCs w:val="21"/>
        </w:rPr>
        <w:t>（十</w:t>
      </w:r>
      <w:r>
        <w:rPr>
          <w:rFonts w:hint="eastAsia"/>
          <w:szCs w:val="21"/>
          <w:lang w:val="en-US" w:eastAsia="zh-CN"/>
        </w:rPr>
        <w:t>五</w:t>
      </w:r>
      <w:r>
        <w:rPr>
          <w:szCs w:val="21"/>
        </w:rPr>
        <w:t>）法律、行政法规、部门规章</w:t>
      </w:r>
      <w:r>
        <w:rPr>
          <w:rFonts w:hint="eastAsia"/>
          <w:szCs w:val="21"/>
        </w:rPr>
        <w:t>、</w:t>
      </w:r>
      <w:r>
        <w:rPr>
          <w:szCs w:val="21"/>
        </w:rPr>
        <w:t>公司章程</w:t>
      </w:r>
      <w:r>
        <w:rPr>
          <w:rFonts w:hint="eastAsia"/>
          <w:szCs w:val="21"/>
        </w:rPr>
        <w:t>或股东会</w:t>
      </w:r>
      <w:r>
        <w:rPr>
          <w:szCs w:val="21"/>
        </w:rPr>
        <w:t>授予的其他职权。</w:t>
      </w:r>
    </w:p>
    <w:p w14:paraId="6F2FEB83">
      <w:pPr>
        <w:numPr>
          <w:ilvl w:val="0"/>
          <w:numId w:val="2"/>
        </w:numPr>
        <w:tabs>
          <w:tab w:val="left" w:pos="0"/>
          <w:tab w:val="left" w:pos="1440"/>
        </w:tabs>
        <w:spacing w:line="360" w:lineRule="auto"/>
        <w:ind w:left="0" w:firstLine="482"/>
        <w:rPr>
          <w:color w:val="000000"/>
          <w:szCs w:val="21"/>
        </w:rPr>
      </w:pPr>
      <w:r>
        <w:rPr>
          <w:color w:val="000000"/>
          <w:szCs w:val="21"/>
        </w:rPr>
        <w:t xml:space="preserve">公司董事会应当就注册会计师对公司财务报告出具的非标准审计意见向股东会做出说明。 </w:t>
      </w:r>
    </w:p>
    <w:p w14:paraId="1C6AEE83">
      <w:pPr>
        <w:numPr>
          <w:ilvl w:val="0"/>
          <w:numId w:val="2"/>
        </w:numPr>
        <w:tabs>
          <w:tab w:val="left" w:pos="0"/>
          <w:tab w:val="left" w:pos="1440"/>
        </w:tabs>
        <w:spacing w:line="360" w:lineRule="auto"/>
        <w:ind w:left="0" w:firstLine="482"/>
        <w:rPr>
          <w:color w:val="000000"/>
          <w:szCs w:val="21"/>
        </w:rPr>
      </w:pPr>
      <w:r>
        <w:rPr>
          <w:kern w:val="0"/>
          <w:szCs w:val="21"/>
        </w:rPr>
        <w:t>公司下列行为须经董事会审议通过：</w:t>
      </w:r>
    </w:p>
    <w:p w14:paraId="18C8FDD0">
      <w:pPr>
        <w:keepNext w:val="0"/>
        <w:keepLines w:val="0"/>
        <w:pageBreakBefore w:val="0"/>
        <w:widowControl w:val="0"/>
        <w:numPr>
          <w:ilvl w:val="0"/>
          <w:numId w:val="0"/>
        </w:numPr>
        <w:tabs>
          <w:tab w:val="left" w:pos="0"/>
          <w:tab w:val="left" w:pos="1440"/>
        </w:tabs>
        <w:kinsoku/>
        <w:wordWrap/>
        <w:overflowPunct/>
        <w:topLinePunct w:val="0"/>
        <w:autoSpaceDE/>
        <w:autoSpaceDN/>
        <w:bidi w:val="0"/>
        <w:adjustRightInd/>
        <w:snapToGrid/>
        <w:spacing w:line="360" w:lineRule="auto"/>
        <w:ind w:left="0" w:leftChars="0" w:firstLine="420" w:firstLineChars="200"/>
        <w:textAlignment w:val="auto"/>
        <w:rPr>
          <w:color w:val="000000"/>
          <w:szCs w:val="21"/>
        </w:rPr>
      </w:pPr>
      <w:r>
        <w:rPr>
          <w:rFonts w:ascii="Times New Roman" w:hAnsi="Times New Roman" w:eastAsia="宋体" w:cs="Times New Roman"/>
          <w:color w:val="000000"/>
          <w:kern w:val="2"/>
          <w:sz w:val="21"/>
          <w:szCs w:val="21"/>
          <w:lang w:val="en-US" w:eastAsia="zh-CN" w:bidi="ar-SA"/>
        </w:rPr>
        <w:t>（一）</w:t>
      </w:r>
      <w:r>
        <w:rPr>
          <w:color w:val="000000"/>
          <w:szCs w:val="21"/>
        </w:rPr>
        <w:t>交易涉及的资产总额占公司最近一期经审计总资产的10%以上，该交易涉及的资产总额同时存在账面值和评估值的，以较高者作为计算依据；</w:t>
      </w:r>
    </w:p>
    <w:p w14:paraId="19E0AB99">
      <w:pPr>
        <w:keepNext w:val="0"/>
        <w:keepLines w:val="0"/>
        <w:pageBreakBefore w:val="0"/>
        <w:widowControl w:val="0"/>
        <w:numPr>
          <w:ilvl w:val="0"/>
          <w:numId w:val="0"/>
        </w:numPr>
        <w:tabs>
          <w:tab w:val="left" w:pos="0"/>
          <w:tab w:val="left" w:pos="1440"/>
        </w:tabs>
        <w:kinsoku/>
        <w:wordWrap/>
        <w:overflowPunct/>
        <w:topLinePunct w:val="0"/>
        <w:autoSpaceDE/>
        <w:autoSpaceDN/>
        <w:bidi w:val="0"/>
        <w:adjustRightInd/>
        <w:snapToGrid/>
        <w:spacing w:line="360" w:lineRule="auto"/>
        <w:ind w:left="0" w:leftChars="0" w:firstLine="420" w:firstLineChars="200"/>
        <w:textAlignment w:val="auto"/>
        <w:rPr>
          <w:color w:val="000000"/>
          <w:szCs w:val="21"/>
        </w:rPr>
      </w:pPr>
      <w:r>
        <w:rPr>
          <w:rFonts w:ascii="Times New Roman" w:hAnsi="Times New Roman" w:eastAsia="宋体" w:cs="Times New Roman"/>
          <w:color w:val="000000"/>
          <w:kern w:val="2"/>
          <w:sz w:val="21"/>
          <w:szCs w:val="21"/>
          <w:lang w:val="en-US" w:eastAsia="zh-CN" w:bidi="ar-SA"/>
        </w:rPr>
        <w:t>（二）</w:t>
      </w:r>
      <w:r>
        <w:rPr>
          <w:color w:val="000000"/>
          <w:szCs w:val="21"/>
        </w:rPr>
        <w:t>交易标的在最近一个会计年度相关的营业收入占公司最近一个会计年度经审计营业收入的10%以上，且绝对金额超过</w:t>
      </w:r>
      <w:r>
        <w:rPr>
          <w:rFonts w:hint="eastAsia"/>
          <w:color w:val="000000"/>
          <w:szCs w:val="21"/>
        </w:rPr>
        <w:t>10</w:t>
      </w:r>
      <w:r>
        <w:rPr>
          <w:color w:val="000000"/>
          <w:szCs w:val="21"/>
        </w:rPr>
        <w:t>00万元；</w:t>
      </w:r>
    </w:p>
    <w:p w14:paraId="0901294B">
      <w:pPr>
        <w:keepNext w:val="0"/>
        <w:keepLines w:val="0"/>
        <w:pageBreakBefore w:val="0"/>
        <w:widowControl w:val="0"/>
        <w:numPr>
          <w:ilvl w:val="0"/>
          <w:numId w:val="0"/>
        </w:numPr>
        <w:tabs>
          <w:tab w:val="left" w:pos="0"/>
          <w:tab w:val="left" w:pos="1440"/>
        </w:tabs>
        <w:kinsoku/>
        <w:wordWrap/>
        <w:overflowPunct/>
        <w:topLinePunct w:val="0"/>
        <w:autoSpaceDE/>
        <w:autoSpaceDN/>
        <w:bidi w:val="0"/>
        <w:adjustRightInd/>
        <w:snapToGrid/>
        <w:spacing w:line="360" w:lineRule="auto"/>
        <w:ind w:left="0" w:leftChars="0" w:firstLine="420" w:firstLineChars="200"/>
        <w:textAlignment w:val="auto"/>
        <w:rPr>
          <w:color w:val="000000"/>
          <w:szCs w:val="21"/>
        </w:rPr>
      </w:pPr>
      <w:r>
        <w:rPr>
          <w:rFonts w:ascii="Times New Roman" w:hAnsi="Times New Roman" w:eastAsia="宋体" w:cs="Times New Roman"/>
          <w:color w:val="000000"/>
          <w:kern w:val="2"/>
          <w:sz w:val="21"/>
          <w:szCs w:val="21"/>
          <w:lang w:val="en-US" w:eastAsia="zh-CN" w:bidi="ar-SA"/>
        </w:rPr>
        <w:t>（三）</w:t>
      </w:r>
      <w:r>
        <w:rPr>
          <w:color w:val="000000"/>
          <w:szCs w:val="21"/>
        </w:rPr>
        <w:t>交易标的在最近一个会计年度相关的净利润占公司最近一个会计年度经审计净利润的10%以上，且绝对金额超过100万元；</w:t>
      </w:r>
    </w:p>
    <w:p w14:paraId="04193259">
      <w:pPr>
        <w:keepNext w:val="0"/>
        <w:keepLines w:val="0"/>
        <w:pageBreakBefore w:val="0"/>
        <w:widowControl w:val="0"/>
        <w:numPr>
          <w:ilvl w:val="0"/>
          <w:numId w:val="0"/>
        </w:numPr>
        <w:tabs>
          <w:tab w:val="left" w:pos="0"/>
          <w:tab w:val="left" w:pos="1440"/>
        </w:tabs>
        <w:kinsoku/>
        <w:wordWrap/>
        <w:overflowPunct/>
        <w:topLinePunct w:val="0"/>
        <w:autoSpaceDE/>
        <w:autoSpaceDN/>
        <w:bidi w:val="0"/>
        <w:adjustRightInd/>
        <w:snapToGrid/>
        <w:spacing w:line="360" w:lineRule="auto"/>
        <w:ind w:left="0" w:leftChars="0" w:firstLine="420" w:firstLineChars="200"/>
        <w:textAlignment w:val="auto"/>
        <w:rPr>
          <w:color w:val="000000"/>
          <w:szCs w:val="21"/>
        </w:rPr>
      </w:pPr>
      <w:r>
        <w:rPr>
          <w:rFonts w:ascii="Times New Roman" w:hAnsi="Times New Roman" w:eastAsia="宋体" w:cs="Times New Roman"/>
          <w:color w:val="000000"/>
          <w:kern w:val="2"/>
          <w:sz w:val="21"/>
          <w:szCs w:val="21"/>
          <w:lang w:val="en-US" w:eastAsia="zh-CN" w:bidi="ar-SA"/>
        </w:rPr>
        <w:t>（四）</w:t>
      </w:r>
      <w:r>
        <w:rPr>
          <w:color w:val="000000"/>
          <w:szCs w:val="21"/>
        </w:rPr>
        <w:t>交易的成交金额</w:t>
      </w:r>
      <w:r>
        <w:rPr>
          <w:rFonts w:hint="eastAsia"/>
          <w:color w:val="000000"/>
          <w:szCs w:val="21"/>
        </w:rPr>
        <w:t>（含承担债务和费用）</w:t>
      </w:r>
      <w:r>
        <w:rPr>
          <w:color w:val="000000"/>
          <w:szCs w:val="21"/>
        </w:rPr>
        <w:t>占公司最近一期经审计净资产的10%以上，且绝对金额超过</w:t>
      </w:r>
      <w:r>
        <w:rPr>
          <w:rFonts w:hint="eastAsia"/>
          <w:color w:val="000000"/>
          <w:szCs w:val="21"/>
        </w:rPr>
        <w:t>10</w:t>
      </w:r>
      <w:r>
        <w:rPr>
          <w:color w:val="000000"/>
          <w:szCs w:val="21"/>
        </w:rPr>
        <w:t>00万元；</w:t>
      </w:r>
    </w:p>
    <w:p w14:paraId="72BA4613">
      <w:pPr>
        <w:keepNext w:val="0"/>
        <w:keepLines w:val="0"/>
        <w:pageBreakBefore w:val="0"/>
        <w:widowControl w:val="0"/>
        <w:numPr>
          <w:ilvl w:val="0"/>
          <w:numId w:val="0"/>
        </w:numPr>
        <w:tabs>
          <w:tab w:val="left" w:pos="0"/>
          <w:tab w:val="left" w:pos="1440"/>
        </w:tabs>
        <w:kinsoku/>
        <w:wordWrap/>
        <w:overflowPunct/>
        <w:topLinePunct w:val="0"/>
        <w:autoSpaceDE/>
        <w:autoSpaceDN/>
        <w:bidi w:val="0"/>
        <w:adjustRightInd/>
        <w:snapToGrid/>
        <w:spacing w:line="360" w:lineRule="auto"/>
        <w:ind w:left="0" w:leftChars="0" w:firstLine="420" w:firstLineChars="200"/>
        <w:textAlignment w:val="auto"/>
        <w:rPr>
          <w:color w:val="000000"/>
          <w:szCs w:val="21"/>
        </w:rPr>
      </w:pPr>
      <w:r>
        <w:rPr>
          <w:rFonts w:ascii="Times New Roman" w:hAnsi="Times New Roman" w:eastAsia="宋体" w:cs="Times New Roman"/>
          <w:color w:val="000000"/>
          <w:kern w:val="2"/>
          <w:sz w:val="21"/>
          <w:szCs w:val="21"/>
          <w:lang w:val="en-US" w:eastAsia="zh-CN" w:bidi="ar-SA"/>
        </w:rPr>
        <w:t>（五）</w:t>
      </w:r>
      <w:r>
        <w:rPr>
          <w:color w:val="000000"/>
          <w:szCs w:val="21"/>
        </w:rPr>
        <w:t>交易产生的利润占公司最近一个会计年度经审计净利润的10%以上，且绝对金额超过100万元。</w:t>
      </w:r>
    </w:p>
    <w:p w14:paraId="6F1F2948">
      <w:pPr>
        <w:tabs>
          <w:tab w:val="left" w:pos="0"/>
          <w:tab w:val="left" w:pos="1440"/>
        </w:tabs>
        <w:spacing w:line="360" w:lineRule="auto"/>
        <w:ind w:left="482"/>
        <w:rPr>
          <w:color w:val="000000"/>
          <w:szCs w:val="21"/>
        </w:rPr>
      </w:pPr>
      <w:r>
        <w:rPr>
          <w:color w:val="000000"/>
          <w:szCs w:val="21"/>
        </w:rPr>
        <w:t>上述交易</w:t>
      </w:r>
      <w:r>
        <w:rPr>
          <w:rFonts w:hint="eastAsia"/>
          <w:color w:val="000000"/>
          <w:szCs w:val="21"/>
        </w:rPr>
        <w:t>不含设立或增资全资子公司，</w:t>
      </w:r>
      <w:r>
        <w:rPr>
          <w:color w:val="000000"/>
          <w:szCs w:val="21"/>
        </w:rPr>
        <w:t>不含购买原材料、燃料和动力，以及出售产品、</w:t>
      </w:r>
    </w:p>
    <w:p w14:paraId="197F9C08">
      <w:pPr>
        <w:tabs>
          <w:tab w:val="left" w:pos="0"/>
          <w:tab w:val="left" w:pos="1440"/>
        </w:tabs>
        <w:spacing w:line="360" w:lineRule="auto"/>
        <w:rPr>
          <w:color w:val="000000"/>
          <w:szCs w:val="21"/>
        </w:rPr>
      </w:pPr>
      <w:r>
        <w:rPr>
          <w:color w:val="000000"/>
          <w:szCs w:val="21"/>
        </w:rPr>
        <w:t>商品等与日常经营相关的购买、出售资产行为，但资产置换中涉及达到上述标准的购买、出售此类资产的，仍包含在内。</w:t>
      </w:r>
    </w:p>
    <w:p w14:paraId="4F918F89">
      <w:pPr>
        <w:tabs>
          <w:tab w:val="left" w:pos="0"/>
          <w:tab w:val="left" w:pos="1440"/>
        </w:tabs>
        <w:spacing w:line="360" w:lineRule="auto"/>
        <w:ind w:left="482"/>
        <w:rPr>
          <w:color w:val="000000"/>
          <w:szCs w:val="21"/>
        </w:rPr>
      </w:pPr>
      <w:r>
        <w:rPr>
          <w:color w:val="000000"/>
          <w:szCs w:val="21"/>
        </w:rPr>
        <w:t>董事会对达到如下标准的特别事项进行审议：</w:t>
      </w:r>
    </w:p>
    <w:p w14:paraId="1E3C5031">
      <w:pPr>
        <w:keepNext w:val="0"/>
        <w:keepLines w:val="0"/>
        <w:pageBreakBefore w:val="0"/>
        <w:widowControl w:val="0"/>
        <w:tabs>
          <w:tab w:val="left" w:pos="0"/>
          <w:tab w:val="left" w:pos="1440"/>
        </w:tabs>
        <w:kinsoku/>
        <w:wordWrap/>
        <w:overflowPunct/>
        <w:topLinePunct w:val="0"/>
        <w:autoSpaceDE/>
        <w:autoSpaceDN/>
        <w:bidi w:val="0"/>
        <w:adjustRightInd/>
        <w:snapToGrid/>
        <w:spacing w:line="360" w:lineRule="auto"/>
        <w:ind w:left="0" w:firstLine="420" w:firstLineChars="200"/>
        <w:textAlignment w:val="auto"/>
        <w:rPr>
          <w:color w:val="000000"/>
          <w:szCs w:val="21"/>
        </w:rPr>
      </w:pPr>
      <w:r>
        <w:rPr>
          <w:color w:val="000000"/>
          <w:szCs w:val="21"/>
        </w:rPr>
        <w:t xml:space="preserve">（一）对控股子公司以外法人或其他组织、个人提供财务资助行为； </w:t>
      </w:r>
    </w:p>
    <w:p w14:paraId="5FD3BFCF">
      <w:pPr>
        <w:keepNext w:val="0"/>
        <w:keepLines w:val="0"/>
        <w:pageBreakBefore w:val="0"/>
        <w:widowControl w:val="0"/>
        <w:tabs>
          <w:tab w:val="left" w:pos="0"/>
          <w:tab w:val="left" w:pos="1440"/>
        </w:tabs>
        <w:kinsoku/>
        <w:wordWrap/>
        <w:overflowPunct/>
        <w:topLinePunct w:val="0"/>
        <w:autoSpaceDE/>
        <w:autoSpaceDN/>
        <w:bidi w:val="0"/>
        <w:adjustRightInd/>
        <w:snapToGrid/>
        <w:spacing w:line="360" w:lineRule="auto"/>
        <w:ind w:left="0" w:firstLine="420" w:firstLineChars="200"/>
        <w:textAlignment w:val="auto"/>
        <w:rPr>
          <w:color w:val="000000"/>
          <w:szCs w:val="21"/>
        </w:rPr>
      </w:pPr>
      <w:r>
        <w:rPr>
          <w:color w:val="000000"/>
          <w:szCs w:val="21"/>
        </w:rPr>
        <w:t>（二）单笔或一个会计年度内累计租赁支付的租金费用或出租资产的租金收入超过公司最近一期经审计净利润20%且金额超过500万元的行为；</w:t>
      </w:r>
    </w:p>
    <w:p w14:paraId="100E834A">
      <w:pPr>
        <w:keepNext w:val="0"/>
        <w:keepLines w:val="0"/>
        <w:pageBreakBefore w:val="0"/>
        <w:widowControl w:val="0"/>
        <w:numPr>
          <w:ilvl w:val="0"/>
          <w:numId w:val="0"/>
        </w:numPr>
        <w:tabs>
          <w:tab w:val="left" w:pos="0"/>
          <w:tab w:val="left" w:pos="1440"/>
        </w:tabs>
        <w:kinsoku/>
        <w:wordWrap/>
        <w:overflowPunct/>
        <w:topLinePunct w:val="0"/>
        <w:autoSpaceDE/>
        <w:autoSpaceDN/>
        <w:bidi w:val="0"/>
        <w:adjustRightInd/>
        <w:snapToGrid/>
        <w:spacing w:line="360" w:lineRule="auto"/>
        <w:ind w:left="0" w:leftChars="0" w:firstLine="420" w:firstLineChars="200"/>
        <w:textAlignment w:val="auto"/>
        <w:rPr>
          <w:color w:val="000000"/>
          <w:szCs w:val="21"/>
        </w:rPr>
      </w:pPr>
      <w:r>
        <w:rPr>
          <w:rFonts w:ascii="Times New Roman" w:hAnsi="Times New Roman" w:eastAsia="宋体" w:cs="Times New Roman"/>
          <w:color w:val="000000"/>
          <w:kern w:val="2"/>
          <w:sz w:val="21"/>
          <w:szCs w:val="21"/>
          <w:lang w:val="en-US" w:eastAsia="zh-CN" w:bidi="ar-SA"/>
        </w:rPr>
        <w:t>（三）</w:t>
      </w:r>
      <w:r>
        <w:rPr>
          <w:color w:val="000000"/>
          <w:szCs w:val="21"/>
        </w:rPr>
        <w:t>单笔或一个会计年度内累计委托或者受托管理资产公允价值超过公司最近一期经审计总资产10%、委托或受托管理业务的经营收入超过公司最近一期经审计的营业收入10%的行为；</w:t>
      </w:r>
    </w:p>
    <w:p w14:paraId="0BB9C25F">
      <w:pPr>
        <w:keepNext w:val="0"/>
        <w:keepLines w:val="0"/>
        <w:pageBreakBefore w:val="0"/>
        <w:widowControl w:val="0"/>
        <w:numPr>
          <w:ilvl w:val="0"/>
          <w:numId w:val="0"/>
        </w:numPr>
        <w:tabs>
          <w:tab w:val="left" w:pos="0"/>
          <w:tab w:val="left" w:pos="1440"/>
        </w:tabs>
        <w:kinsoku/>
        <w:wordWrap/>
        <w:overflowPunct/>
        <w:topLinePunct w:val="0"/>
        <w:autoSpaceDE/>
        <w:autoSpaceDN/>
        <w:bidi w:val="0"/>
        <w:adjustRightInd/>
        <w:snapToGrid/>
        <w:spacing w:line="360" w:lineRule="auto"/>
        <w:ind w:left="0" w:leftChars="0" w:firstLine="420" w:firstLineChars="200"/>
        <w:textAlignment w:val="auto"/>
        <w:rPr>
          <w:color w:val="000000"/>
          <w:szCs w:val="21"/>
        </w:rPr>
      </w:pPr>
      <w:r>
        <w:rPr>
          <w:rFonts w:ascii="Times New Roman" w:hAnsi="Times New Roman" w:eastAsia="宋体" w:cs="Times New Roman"/>
          <w:color w:val="000000"/>
          <w:kern w:val="2"/>
          <w:sz w:val="21"/>
          <w:szCs w:val="21"/>
          <w:lang w:val="en-US" w:eastAsia="zh-CN" w:bidi="ar-SA"/>
        </w:rPr>
        <w:t>（四）</w:t>
      </w:r>
      <w:r>
        <w:rPr>
          <w:color w:val="000000"/>
          <w:szCs w:val="21"/>
        </w:rPr>
        <w:t>单笔或一个会计年度内累计公允价值超过公司最近一期经审计净资产3%的资产赠与或受赠行为（受赠现金资产除外）；</w:t>
      </w:r>
    </w:p>
    <w:p w14:paraId="0A32A477">
      <w:pPr>
        <w:keepNext w:val="0"/>
        <w:keepLines w:val="0"/>
        <w:pageBreakBefore w:val="0"/>
        <w:widowControl w:val="0"/>
        <w:numPr>
          <w:ilvl w:val="0"/>
          <w:numId w:val="0"/>
        </w:numPr>
        <w:tabs>
          <w:tab w:val="left" w:pos="0"/>
          <w:tab w:val="left" w:pos="1440"/>
        </w:tabs>
        <w:kinsoku/>
        <w:wordWrap/>
        <w:overflowPunct/>
        <w:topLinePunct w:val="0"/>
        <w:autoSpaceDE/>
        <w:autoSpaceDN/>
        <w:bidi w:val="0"/>
        <w:adjustRightInd/>
        <w:snapToGrid/>
        <w:spacing w:line="360" w:lineRule="auto"/>
        <w:ind w:left="0" w:leftChars="0" w:firstLine="420" w:firstLineChars="200"/>
        <w:textAlignment w:val="auto"/>
        <w:rPr>
          <w:color w:val="000000"/>
          <w:szCs w:val="21"/>
        </w:rPr>
      </w:pPr>
      <w:r>
        <w:rPr>
          <w:rFonts w:ascii="Times New Roman" w:hAnsi="Times New Roman" w:eastAsia="宋体" w:cs="Times New Roman"/>
          <w:color w:val="000000"/>
          <w:kern w:val="2"/>
          <w:sz w:val="21"/>
          <w:szCs w:val="21"/>
          <w:lang w:val="en-US" w:eastAsia="zh-CN" w:bidi="ar-SA"/>
        </w:rPr>
        <w:t>（五）</w:t>
      </w:r>
      <w:r>
        <w:rPr>
          <w:color w:val="000000"/>
          <w:szCs w:val="21"/>
        </w:rPr>
        <w:t>单笔或一个会计年度内累计债权、债务损失超过该债权、债务账面价值的10%，且金额超过100万元的债权、债务重组行为；</w:t>
      </w:r>
    </w:p>
    <w:p w14:paraId="3F7C8F75">
      <w:pPr>
        <w:keepNext w:val="0"/>
        <w:keepLines w:val="0"/>
        <w:pageBreakBefore w:val="0"/>
        <w:widowControl w:val="0"/>
        <w:numPr>
          <w:ilvl w:val="0"/>
          <w:numId w:val="0"/>
        </w:numPr>
        <w:tabs>
          <w:tab w:val="left" w:pos="0"/>
          <w:tab w:val="left" w:pos="1440"/>
        </w:tabs>
        <w:kinsoku/>
        <w:wordWrap/>
        <w:overflowPunct/>
        <w:topLinePunct w:val="0"/>
        <w:autoSpaceDE/>
        <w:autoSpaceDN/>
        <w:bidi w:val="0"/>
        <w:adjustRightInd/>
        <w:snapToGrid/>
        <w:spacing w:line="360" w:lineRule="auto"/>
        <w:ind w:left="0" w:leftChars="0" w:firstLine="420" w:firstLineChars="200"/>
        <w:textAlignment w:val="auto"/>
        <w:rPr>
          <w:color w:val="000000"/>
          <w:szCs w:val="21"/>
        </w:rPr>
      </w:pPr>
      <w:r>
        <w:rPr>
          <w:rFonts w:ascii="Times New Roman" w:hAnsi="Times New Roman" w:eastAsia="宋体" w:cs="Times New Roman"/>
          <w:color w:val="000000"/>
          <w:kern w:val="2"/>
          <w:sz w:val="21"/>
          <w:szCs w:val="21"/>
          <w:lang w:val="en-US" w:eastAsia="zh-CN" w:bidi="ar-SA"/>
        </w:rPr>
        <w:t>（六）</w:t>
      </w:r>
      <w:r>
        <w:rPr>
          <w:color w:val="000000"/>
          <w:szCs w:val="21"/>
        </w:rPr>
        <w:t>单笔或一个会计年度内累计许可费用或者许可收入超过公司最近一期经审计的净利润10%的签订许可协议行为；</w:t>
      </w:r>
    </w:p>
    <w:p w14:paraId="794809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pPr>
      <w:r>
        <w:rPr>
          <w:lang w:val="en-US" w:eastAsia="zh-CN"/>
        </w:rPr>
        <w:t>（七）</w:t>
      </w:r>
      <w:r>
        <w:t>单笔或一个会计年度内累计转让、受让价款超过公司最近一期经审计净资产10%的研发与开发项目转让受让行为；</w:t>
      </w:r>
    </w:p>
    <w:p w14:paraId="2861AE8B">
      <w:pPr>
        <w:numPr>
          <w:ilvl w:val="0"/>
          <w:numId w:val="0"/>
        </w:numPr>
        <w:tabs>
          <w:tab w:val="left" w:pos="0"/>
          <w:tab w:val="left" w:pos="1440"/>
        </w:tabs>
        <w:spacing w:line="360" w:lineRule="auto"/>
        <w:ind w:left="0" w:firstLine="420" w:firstLineChars="200"/>
        <w:rPr>
          <w:color w:val="000000"/>
          <w:szCs w:val="21"/>
        </w:rPr>
      </w:pPr>
      <w:r>
        <w:rPr>
          <w:rFonts w:hint="eastAsia"/>
          <w:color w:val="000000"/>
          <w:szCs w:val="21"/>
          <w:lang w:eastAsia="zh-CN"/>
        </w:rPr>
        <w:t>（</w:t>
      </w:r>
      <w:r>
        <w:rPr>
          <w:rFonts w:hint="eastAsia"/>
          <w:color w:val="000000"/>
          <w:szCs w:val="21"/>
          <w:lang w:val="en-US" w:eastAsia="zh-CN"/>
        </w:rPr>
        <w:t>八</w:t>
      </w:r>
      <w:r>
        <w:rPr>
          <w:rFonts w:hint="eastAsia"/>
          <w:color w:val="000000"/>
          <w:szCs w:val="21"/>
          <w:lang w:eastAsia="zh-CN"/>
        </w:rPr>
        <w:t>）</w:t>
      </w:r>
      <w:r>
        <w:rPr>
          <w:color w:val="000000"/>
          <w:szCs w:val="21"/>
        </w:rPr>
        <w:t>公司与关联自然人发生的</w:t>
      </w:r>
      <w:r>
        <w:rPr>
          <w:rFonts w:hint="eastAsia"/>
          <w:color w:val="000000"/>
          <w:szCs w:val="21"/>
        </w:rPr>
        <w:t>成交</w:t>
      </w:r>
      <w:r>
        <w:rPr>
          <w:color w:val="000000"/>
          <w:szCs w:val="21"/>
        </w:rPr>
        <w:t>金额</w:t>
      </w:r>
      <w:r>
        <w:rPr>
          <w:rFonts w:hint="eastAsia"/>
          <w:color w:val="000000"/>
          <w:szCs w:val="21"/>
        </w:rPr>
        <w:t>超过</w:t>
      </w:r>
      <w:r>
        <w:rPr>
          <w:color w:val="000000"/>
          <w:szCs w:val="21"/>
        </w:rPr>
        <w:t>30万元的关联交易行为</w:t>
      </w:r>
      <w:r>
        <w:rPr>
          <w:rFonts w:hint="eastAsia"/>
          <w:color w:val="000000"/>
          <w:szCs w:val="21"/>
        </w:rPr>
        <w:t>（提供担保、提供财务资助除外）</w:t>
      </w:r>
      <w:r>
        <w:rPr>
          <w:color w:val="000000"/>
          <w:szCs w:val="21"/>
        </w:rPr>
        <w:t>；公司</w:t>
      </w:r>
      <w:r>
        <w:rPr>
          <w:rFonts w:hint="eastAsia"/>
          <w:color w:val="000000"/>
          <w:szCs w:val="21"/>
        </w:rPr>
        <w:t>与关联法人发生的成交金额超过300万元，且占公司最近一期经审计净资产绝对值0.5%以上的关联交易（提供担保、提供财务资助除外）</w:t>
      </w:r>
      <w:r>
        <w:rPr>
          <w:color w:val="000000"/>
          <w:szCs w:val="21"/>
        </w:rPr>
        <w:t>；</w:t>
      </w:r>
    </w:p>
    <w:p w14:paraId="183DC0D8">
      <w:pPr>
        <w:keepNext w:val="0"/>
        <w:keepLines w:val="0"/>
        <w:pageBreakBefore w:val="0"/>
        <w:widowControl w:val="0"/>
        <w:numPr>
          <w:ilvl w:val="0"/>
          <w:numId w:val="0"/>
        </w:numPr>
        <w:tabs>
          <w:tab w:val="left" w:pos="0"/>
          <w:tab w:val="left" w:pos="1440"/>
        </w:tabs>
        <w:kinsoku/>
        <w:wordWrap/>
        <w:overflowPunct/>
        <w:topLinePunct w:val="0"/>
        <w:autoSpaceDE/>
        <w:autoSpaceDN/>
        <w:bidi w:val="0"/>
        <w:adjustRightInd/>
        <w:snapToGrid/>
        <w:spacing w:line="360" w:lineRule="auto"/>
        <w:ind w:left="0" w:leftChars="0" w:firstLine="420" w:firstLineChars="200"/>
        <w:textAlignment w:val="auto"/>
        <w:rPr>
          <w:color w:val="000000"/>
          <w:szCs w:val="21"/>
        </w:rPr>
      </w:pPr>
      <w:r>
        <w:rPr>
          <w:rFonts w:ascii="Times New Roman" w:hAnsi="Times New Roman" w:eastAsia="宋体" w:cs="Times New Roman"/>
          <w:color w:val="000000"/>
          <w:kern w:val="2"/>
          <w:sz w:val="21"/>
          <w:szCs w:val="21"/>
          <w:lang w:val="en-US" w:eastAsia="zh-CN" w:bidi="ar-SA"/>
        </w:rPr>
        <w:t>（九）</w:t>
      </w:r>
      <w:r>
        <w:rPr>
          <w:rFonts w:hint="eastAsia"/>
          <w:color w:val="000000"/>
          <w:szCs w:val="21"/>
        </w:rPr>
        <w:t>计提资产减值准备或核销资产对公司当期损益的影响占公司最近一个会计年度经审计净利润10%以上且绝对金额超过100万元的行为。</w:t>
      </w:r>
    </w:p>
    <w:p w14:paraId="141BCCA1">
      <w:pPr>
        <w:widowControl/>
        <w:spacing w:line="440" w:lineRule="exact"/>
        <w:ind w:firstLine="420" w:firstLineChars="200"/>
        <w:rPr>
          <w:kern w:val="0"/>
          <w:szCs w:val="21"/>
        </w:rPr>
      </w:pPr>
      <w:r>
        <w:rPr>
          <w:kern w:val="0"/>
          <w:szCs w:val="21"/>
        </w:rPr>
        <w:t>公司所有的对外担保行为须经董事会审议通过，达到公司章程第四十</w:t>
      </w:r>
      <w:r>
        <w:rPr>
          <w:rFonts w:hint="eastAsia"/>
          <w:kern w:val="0"/>
          <w:szCs w:val="21"/>
          <w:lang w:val="en-US" w:eastAsia="zh-CN"/>
        </w:rPr>
        <w:t>七</w:t>
      </w:r>
      <w:r>
        <w:rPr>
          <w:kern w:val="0"/>
          <w:szCs w:val="21"/>
        </w:rPr>
        <w:t>条规定限额的对外担保行为，需在董事会审议后提交</w:t>
      </w:r>
      <w:r>
        <w:rPr>
          <w:szCs w:val="21"/>
        </w:rPr>
        <w:t>股东会审议通过。</w:t>
      </w:r>
    </w:p>
    <w:p w14:paraId="0985EBC6">
      <w:pPr>
        <w:widowControl/>
        <w:spacing w:line="440" w:lineRule="exact"/>
        <w:ind w:firstLine="420" w:firstLineChars="200"/>
        <w:rPr>
          <w:kern w:val="0"/>
          <w:szCs w:val="21"/>
        </w:rPr>
      </w:pPr>
      <w:r>
        <w:rPr>
          <w:kern w:val="0"/>
          <w:szCs w:val="21"/>
        </w:rPr>
        <w:t>董事会审议担保事项时，必须经出席董事会会议的2/3以上董事审议通过。公司对外担保应当采用反担保等措施防范风险，要求被担保方以抵押或质押形式提供反担保，且反担保的提供方应当具有实际履行能力。公司为全资子公司提供担保的、全资子公司间担保的，可以不要求提供反担保。</w:t>
      </w:r>
    </w:p>
    <w:p w14:paraId="71B2AFA4">
      <w:pPr>
        <w:tabs>
          <w:tab w:val="left" w:pos="1440"/>
        </w:tabs>
        <w:spacing w:line="360" w:lineRule="auto"/>
        <w:ind w:firstLine="420" w:firstLineChars="200"/>
        <w:rPr>
          <w:color w:val="000000"/>
          <w:szCs w:val="21"/>
        </w:rPr>
      </w:pPr>
      <w:r>
        <w:rPr>
          <w:kern w:val="0"/>
          <w:szCs w:val="21"/>
        </w:rPr>
        <w:t>超出董事会决策权限的对外投资、收购或出售资产、资产抵押、对外担保、关联交易等事项，须由董事会审议通过后报股东会批准。</w:t>
      </w:r>
    </w:p>
    <w:p w14:paraId="4D275825">
      <w:pPr>
        <w:numPr>
          <w:ilvl w:val="0"/>
          <w:numId w:val="2"/>
        </w:numPr>
        <w:tabs>
          <w:tab w:val="left" w:pos="0"/>
          <w:tab w:val="left" w:pos="1440"/>
        </w:tabs>
        <w:spacing w:line="360" w:lineRule="auto"/>
        <w:ind w:left="0" w:firstLine="482"/>
        <w:rPr>
          <w:color w:val="000000"/>
          <w:szCs w:val="21"/>
        </w:rPr>
      </w:pPr>
      <w:r>
        <w:rPr>
          <w:color w:val="000000"/>
          <w:szCs w:val="21"/>
        </w:rPr>
        <w:t xml:space="preserve">董事长行使下列职权： </w:t>
      </w:r>
    </w:p>
    <w:p w14:paraId="796D5BA1">
      <w:pPr>
        <w:spacing w:line="360" w:lineRule="auto"/>
        <w:ind w:firstLine="420" w:firstLineChars="200"/>
        <w:rPr>
          <w:color w:val="000000"/>
          <w:szCs w:val="21"/>
        </w:rPr>
      </w:pPr>
      <w:r>
        <w:rPr>
          <w:color w:val="000000"/>
          <w:szCs w:val="21"/>
        </w:rPr>
        <w:t xml:space="preserve">（一）主持股东会和召集、主持董事会会议； </w:t>
      </w:r>
    </w:p>
    <w:p w14:paraId="736127AC">
      <w:pPr>
        <w:spacing w:line="360" w:lineRule="auto"/>
        <w:ind w:firstLine="420" w:firstLineChars="200"/>
        <w:rPr>
          <w:color w:val="000000"/>
          <w:szCs w:val="21"/>
        </w:rPr>
      </w:pPr>
      <w:r>
        <w:rPr>
          <w:color w:val="000000"/>
          <w:szCs w:val="21"/>
        </w:rPr>
        <w:t xml:space="preserve">（二）督促、检查董事会决议的执行； </w:t>
      </w:r>
    </w:p>
    <w:p w14:paraId="713BD8CF">
      <w:pPr>
        <w:spacing w:line="360" w:lineRule="auto"/>
        <w:ind w:firstLine="420" w:firstLineChars="200"/>
        <w:rPr>
          <w:color w:val="000000"/>
          <w:szCs w:val="21"/>
        </w:rPr>
      </w:pPr>
      <w:r>
        <w:rPr>
          <w:color w:val="000000"/>
          <w:szCs w:val="21"/>
        </w:rPr>
        <w:t>（三）签署公司股票、公司债券及其他有价证券；</w:t>
      </w:r>
    </w:p>
    <w:p w14:paraId="1FF9699F">
      <w:pPr>
        <w:spacing w:line="360" w:lineRule="auto"/>
        <w:ind w:firstLine="420" w:firstLineChars="200"/>
        <w:rPr>
          <w:color w:val="000000"/>
          <w:szCs w:val="21"/>
        </w:rPr>
      </w:pPr>
      <w:r>
        <w:rPr>
          <w:color w:val="000000"/>
          <w:szCs w:val="21"/>
        </w:rPr>
        <w:t xml:space="preserve">（四）签署董事会重要文件； </w:t>
      </w:r>
    </w:p>
    <w:p w14:paraId="3E55CC4F">
      <w:pPr>
        <w:spacing w:line="360" w:lineRule="auto"/>
        <w:ind w:firstLine="420" w:firstLineChars="200"/>
        <w:rPr>
          <w:color w:val="000000"/>
          <w:szCs w:val="21"/>
        </w:rPr>
      </w:pPr>
      <w:r>
        <w:rPr>
          <w:color w:val="000000"/>
          <w:szCs w:val="21"/>
        </w:rPr>
        <w:t>（五）在董事会闭会期间负责审核除定期报告，董事会、</w:t>
      </w:r>
      <w:r>
        <w:rPr>
          <w:rFonts w:hint="eastAsia"/>
          <w:color w:val="000000"/>
          <w:szCs w:val="21"/>
        </w:rPr>
        <w:t>审计委员</w:t>
      </w:r>
      <w:r>
        <w:rPr>
          <w:color w:val="000000"/>
          <w:szCs w:val="21"/>
        </w:rPr>
        <w:t>会和股东会决议公告以外的临时公告，并以董事会名义依法披露；</w:t>
      </w:r>
    </w:p>
    <w:p w14:paraId="7C8BBA7A">
      <w:pPr>
        <w:spacing w:line="360" w:lineRule="auto"/>
        <w:ind w:firstLine="420" w:firstLineChars="200"/>
        <w:rPr>
          <w:color w:val="000000"/>
          <w:szCs w:val="21"/>
        </w:rPr>
      </w:pPr>
      <w:r>
        <w:rPr>
          <w:color w:val="000000"/>
          <w:szCs w:val="21"/>
        </w:rPr>
        <w:t>（六）在发生特大自然灾害等不可抗力的紧急情况下，对公司事务行使符合法律规定和公司利益的特别处置权，并在事后向公司董事会和股东会报告；</w:t>
      </w:r>
    </w:p>
    <w:p w14:paraId="177DDAFA">
      <w:pPr>
        <w:spacing w:line="360" w:lineRule="auto"/>
        <w:ind w:firstLine="420" w:firstLineChars="200"/>
        <w:rPr>
          <w:color w:val="000000"/>
          <w:szCs w:val="21"/>
        </w:rPr>
      </w:pPr>
      <w:r>
        <w:rPr>
          <w:color w:val="000000"/>
          <w:szCs w:val="21"/>
        </w:rPr>
        <w:t>（七）董事会授予的其他职权。</w:t>
      </w:r>
    </w:p>
    <w:p w14:paraId="524657A6">
      <w:pPr>
        <w:spacing w:line="360" w:lineRule="auto"/>
        <w:ind w:firstLine="420" w:firstLineChars="200"/>
        <w:rPr>
          <w:color w:val="000000"/>
          <w:szCs w:val="21"/>
        </w:rPr>
      </w:pPr>
      <w:r>
        <w:rPr>
          <w:color w:val="000000"/>
          <w:szCs w:val="21"/>
        </w:rPr>
        <w:t>董事会授权董事长在董事会闭会期间行使董事会的部分职权，该授权须经全体董事</w:t>
      </w:r>
      <w:r>
        <w:rPr>
          <w:rFonts w:hint="eastAsia"/>
          <w:color w:val="000000"/>
          <w:szCs w:val="21"/>
        </w:rPr>
        <w:t>过半数</w:t>
      </w:r>
      <w:r>
        <w:rPr>
          <w:color w:val="000000"/>
          <w:szCs w:val="21"/>
        </w:rPr>
        <w:t>同意，并以董事会决议的形式作出。董事会对董事长的授权内容应该明确、具体。</w:t>
      </w:r>
    </w:p>
    <w:p w14:paraId="6F9D694C">
      <w:pPr>
        <w:spacing w:line="360" w:lineRule="auto"/>
        <w:ind w:firstLine="420" w:firstLineChars="200"/>
        <w:rPr>
          <w:color w:val="000000"/>
          <w:szCs w:val="21"/>
        </w:rPr>
      </w:pPr>
      <w:r>
        <w:rPr>
          <w:color w:val="000000"/>
          <w:szCs w:val="21"/>
        </w:rPr>
        <w:t>除非董事会对董事长的授权有明确期限或董事会再次授权，该授权自该董事会任期届满或董事长不能履行职责时自动终止。董事长应及时将执行授权的情况向董事会汇报。</w:t>
      </w:r>
    </w:p>
    <w:p w14:paraId="04DD7B54">
      <w:pPr>
        <w:numPr>
          <w:ilvl w:val="0"/>
          <w:numId w:val="2"/>
        </w:numPr>
        <w:tabs>
          <w:tab w:val="left" w:pos="0"/>
          <w:tab w:val="left" w:pos="1440"/>
        </w:tabs>
        <w:spacing w:line="360" w:lineRule="auto"/>
        <w:ind w:left="0" w:firstLine="482"/>
        <w:rPr>
          <w:rFonts w:eastAsia="黑体"/>
          <w:color w:val="000000"/>
          <w:sz w:val="28"/>
          <w:szCs w:val="28"/>
        </w:rPr>
      </w:pPr>
      <w:r>
        <w:rPr>
          <w:color w:val="000000"/>
          <w:szCs w:val="21"/>
        </w:rPr>
        <w:t>公司董事长不能履行职务或者不履行职务的，由</w:t>
      </w:r>
      <w:r>
        <w:rPr>
          <w:rFonts w:hint="eastAsia"/>
          <w:color w:val="000000"/>
          <w:szCs w:val="21"/>
        </w:rPr>
        <w:t>过半数</w:t>
      </w:r>
      <w:r>
        <w:rPr>
          <w:color w:val="000000"/>
          <w:szCs w:val="21"/>
        </w:rPr>
        <w:t>董事共同推举一名董事履行职务</w:t>
      </w:r>
      <w:r>
        <w:rPr>
          <w:szCs w:val="21"/>
        </w:rPr>
        <w:t>。</w:t>
      </w:r>
    </w:p>
    <w:p w14:paraId="3FD0FC97">
      <w:pPr>
        <w:pStyle w:val="2"/>
        <w:bidi w:val="0"/>
        <w:ind w:left="567" w:leftChars="0" w:hanging="567" w:firstLineChars="0"/>
      </w:pPr>
      <w:r>
        <w:rPr>
          <w:rFonts w:hint="eastAsia"/>
          <w:lang w:val="en-US" w:eastAsia="zh-CN"/>
        </w:rPr>
        <w:t xml:space="preserve"> </w:t>
      </w:r>
      <w:r>
        <w:t>会议议案</w:t>
      </w:r>
    </w:p>
    <w:p w14:paraId="4F76F3BD">
      <w:pPr>
        <w:numPr>
          <w:ilvl w:val="0"/>
          <w:numId w:val="2"/>
        </w:numPr>
        <w:tabs>
          <w:tab w:val="left" w:pos="0"/>
          <w:tab w:val="left" w:pos="1440"/>
        </w:tabs>
        <w:spacing w:line="360" w:lineRule="auto"/>
        <w:ind w:left="0" w:firstLine="482"/>
        <w:rPr>
          <w:color w:val="000000"/>
          <w:szCs w:val="21"/>
        </w:rPr>
      </w:pPr>
      <w:r>
        <w:rPr>
          <w:rStyle w:val="14"/>
          <w:color w:val="000000"/>
          <w:sz w:val="21"/>
          <w:szCs w:val="21"/>
        </w:rPr>
        <w:t>董事、</w:t>
      </w:r>
      <w:r>
        <w:rPr>
          <w:rStyle w:val="14"/>
          <w:rFonts w:hint="eastAsia"/>
          <w:color w:val="000000"/>
          <w:sz w:val="21"/>
          <w:szCs w:val="21"/>
        </w:rPr>
        <w:t>审计委员</w:t>
      </w:r>
      <w:r>
        <w:rPr>
          <w:rStyle w:val="14"/>
          <w:color w:val="000000"/>
          <w:sz w:val="21"/>
          <w:szCs w:val="21"/>
        </w:rPr>
        <w:t>会、总经理均有权向公司董事会提出会议议案，提案应当符合下列条件：</w:t>
      </w:r>
      <w:r>
        <w:rPr>
          <w:color w:val="000000"/>
          <w:szCs w:val="21"/>
        </w:rPr>
        <w:br w:type="textWrapping"/>
      </w:r>
      <w:r>
        <w:rPr>
          <w:rStyle w:val="14"/>
          <w:color w:val="000000"/>
          <w:sz w:val="21"/>
          <w:szCs w:val="21"/>
        </w:rPr>
        <w:t>　　（一）内容与法律、法规、规范性文件和公司章程的规定不相抵触，并且属于董事会的职责范围；</w:t>
      </w:r>
      <w:r>
        <w:rPr>
          <w:color w:val="000000"/>
          <w:szCs w:val="21"/>
        </w:rPr>
        <w:br w:type="textWrapping"/>
      </w:r>
      <w:r>
        <w:rPr>
          <w:rStyle w:val="14"/>
          <w:color w:val="000000"/>
          <w:sz w:val="21"/>
          <w:szCs w:val="21"/>
        </w:rPr>
        <w:t>　　（二）有明确议题和具体决议事项。</w:t>
      </w:r>
    </w:p>
    <w:p w14:paraId="21716D0F">
      <w:pPr>
        <w:pStyle w:val="2"/>
        <w:bidi w:val="0"/>
        <w:ind w:left="567" w:leftChars="0" w:hanging="567" w:firstLineChars="0"/>
      </w:pPr>
      <w:r>
        <w:rPr>
          <w:rFonts w:hint="eastAsia"/>
          <w:lang w:val="en-US" w:eastAsia="zh-CN"/>
        </w:rPr>
        <w:t xml:space="preserve"> </w:t>
      </w:r>
      <w:r>
        <w:t>会议召集和召开</w:t>
      </w:r>
    </w:p>
    <w:p w14:paraId="1771924C">
      <w:pPr>
        <w:numPr>
          <w:ilvl w:val="0"/>
          <w:numId w:val="2"/>
        </w:numPr>
        <w:tabs>
          <w:tab w:val="left" w:pos="0"/>
          <w:tab w:val="left" w:pos="1440"/>
        </w:tabs>
        <w:spacing w:line="360" w:lineRule="auto"/>
        <w:ind w:left="0" w:firstLine="482"/>
        <w:rPr>
          <w:rStyle w:val="14"/>
          <w:sz w:val="21"/>
          <w:szCs w:val="21"/>
        </w:rPr>
      </w:pPr>
      <w:r>
        <w:rPr>
          <w:rStyle w:val="14"/>
          <w:sz w:val="21"/>
          <w:szCs w:val="21"/>
        </w:rPr>
        <w:t>董事会每年至少召开两次会议，由董事长召集，于会议召开十日以前书面通知全体董事。书面方式包括专人送出、邮件、传真或电子邮件方式。</w:t>
      </w:r>
    </w:p>
    <w:p w14:paraId="7B0629C6">
      <w:pPr>
        <w:numPr>
          <w:ilvl w:val="0"/>
          <w:numId w:val="2"/>
        </w:numPr>
        <w:tabs>
          <w:tab w:val="left" w:pos="0"/>
          <w:tab w:val="left" w:pos="1440"/>
        </w:tabs>
        <w:spacing w:line="360" w:lineRule="auto"/>
        <w:ind w:left="0" w:firstLine="482"/>
        <w:rPr>
          <w:rStyle w:val="14"/>
          <w:sz w:val="21"/>
          <w:szCs w:val="21"/>
        </w:rPr>
      </w:pPr>
      <w:r>
        <w:rPr>
          <w:rStyle w:val="14"/>
          <w:sz w:val="21"/>
          <w:szCs w:val="21"/>
        </w:rPr>
        <w:t>代表1/10以上表决权的股东、1/3以上董事或者</w:t>
      </w:r>
      <w:r>
        <w:rPr>
          <w:rStyle w:val="14"/>
          <w:rFonts w:hint="eastAsia"/>
          <w:sz w:val="21"/>
          <w:szCs w:val="21"/>
        </w:rPr>
        <w:t>审计委员</w:t>
      </w:r>
      <w:r>
        <w:rPr>
          <w:rStyle w:val="14"/>
          <w:sz w:val="21"/>
          <w:szCs w:val="21"/>
        </w:rPr>
        <w:t>会，可以提议召开董事会临时会议。董事长应当自接到提议后10日内，召集和主持董事会会议。</w:t>
      </w:r>
    </w:p>
    <w:p w14:paraId="367D8BAA">
      <w:pPr>
        <w:numPr>
          <w:ilvl w:val="0"/>
          <w:numId w:val="2"/>
        </w:numPr>
        <w:tabs>
          <w:tab w:val="left" w:pos="0"/>
          <w:tab w:val="left" w:pos="1440"/>
        </w:tabs>
        <w:spacing w:line="360" w:lineRule="auto"/>
        <w:ind w:left="0" w:firstLine="482"/>
        <w:rPr>
          <w:rStyle w:val="14"/>
          <w:sz w:val="21"/>
          <w:szCs w:val="21"/>
        </w:rPr>
      </w:pPr>
      <w:r>
        <w:rPr>
          <w:rStyle w:val="14"/>
          <w:sz w:val="21"/>
          <w:szCs w:val="21"/>
        </w:rPr>
        <w:t>董事会召开临时董事会会议的通知方式为：专人送出、邮件、传真或电子邮件；通知时限为：至少会议召开前三日发出通知。</w:t>
      </w:r>
    </w:p>
    <w:p w14:paraId="0963C09E">
      <w:pPr>
        <w:tabs>
          <w:tab w:val="left" w:pos="0"/>
          <w:tab w:val="left" w:pos="1440"/>
        </w:tabs>
        <w:spacing w:line="360" w:lineRule="auto"/>
        <w:ind w:firstLine="420" w:firstLineChars="200"/>
        <w:rPr>
          <w:rStyle w:val="14"/>
          <w:color w:val="000000"/>
          <w:sz w:val="21"/>
          <w:szCs w:val="21"/>
        </w:rPr>
      </w:pPr>
      <w:r>
        <w:rPr>
          <w:rStyle w:val="14"/>
          <w:color w:val="000000"/>
          <w:sz w:val="21"/>
          <w:szCs w:val="21"/>
        </w:rPr>
        <w:t>情况紧急，需要尽快召开董事会临时会议的，可以随时通过电话或者其他口头方式发出通知，但召集人需要在会议上作出说明。</w:t>
      </w:r>
    </w:p>
    <w:p w14:paraId="52E1284B">
      <w:pPr>
        <w:numPr>
          <w:ilvl w:val="0"/>
          <w:numId w:val="2"/>
        </w:numPr>
        <w:tabs>
          <w:tab w:val="left" w:pos="0"/>
          <w:tab w:val="left" w:pos="1440"/>
        </w:tabs>
        <w:spacing w:line="360" w:lineRule="auto"/>
        <w:ind w:left="0" w:firstLine="482"/>
        <w:rPr>
          <w:color w:val="000000"/>
          <w:szCs w:val="21"/>
        </w:rPr>
      </w:pPr>
      <w:r>
        <w:rPr>
          <w:rStyle w:val="14"/>
          <w:sz w:val="21"/>
          <w:szCs w:val="21"/>
        </w:rPr>
        <w:t xml:space="preserve">董事会会议通知包括以下内容： </w:t>
      </w:r>
    </w:p>
    <w:p w14:paraId="22D3963F">
      <w:pPr>
        <w:spacing w:line="360" w:lineRule="auto"/>
        <w:ind w:firstLine="420" w:firstLineChars="200"/>
        <w:rPr>
          <w:color w:val="000000"/>
          <w:szCs w:val="21"/>
        </w:rPr>
      </w:pPr>
      <w:r>
        <w:rPr>
          <w:color w:val="000000"/>
          <w:szCs w:val="21"/>
        </w:rPr>
        <w:t xml:space="preserve">（一）会议日期和地点； </w:t>
      </w:r>
    </w:p>
    <w:p w14:paraId="2A37AFED">
      <w:pPr>
        <w:spacing w:line="360" w:lineRule="auto"/>
        <w:ind w:firstLine="420" w:firstLineChars="200"/>
        <w:rPr>
          <w:color w:val="000000"/>
          <w:szCs w:val="21"/>
        </w:rPr>
      </w:pPr>
      <w:r>
        <w:rPr>
          <w:color w:val="000000"/>
          <w:szCs w:val="21"/>
        </w:rPr>
        <w:t xml:space="preserve">（二）会议期限； </w:t>
      </w:r>
    </w:p>
    <w:p w14:paraId="3564E40D">
      <w:pPr>
        <w:spacing w:line="360" w:lineRule="auto"/>
        <w:ind w:firstLine="420" w:firstLineChars="200"/>
        <w:rPr>
          <w:color w:val="000000"/>
          <w:szCs w:val="21"/>
        </w:rPr>
      </w:pPr>
      <w:r>
        <w:rPr>
          <w:color w:val="000000"/>
          <w:szCs w:val="21"/>
        </w:rPr>
        <w:t xml:space="preserve">（三）事由及议题； </w:t>
      </w:r>
    </w:p>
    <w:p w14:paraId="7A8D8F1A">
      <w:pPr>
        <w:spacing w:line="360" w:lineRule="auto"/>
        <w:ind w:firstLine="420" w:firstLineChars="200"/>
        <w:rPr>
          <w:color w:val="000000"/>
          <w:szCs w:val="21"/>
        </w:rPr>
      </w:pPr>
      <w:r>
        <w:rPr>
          <w:color w:val="000000"/>
          <w:szCs w:val="21"/>
        </w:rPr>
        <w:t xml:space="preserve">（四）发出通知的日期。 </w:t>
      </w:r>
    </w:p>
    <w:p w14:paraId="23B7C41F">
      <w:pPr>
        <w:spacing w:line="360" w:lineRule="auto"/>
        <w:ind w:firstLine="420" w:firstLineChars="200"/>
        <w:rPr>
          <w:color w:val="000000"/>
          <w:szCs w:val="21"/>
        </w:rPr>
      </w:pPr>
      <w:r>
        <w:rPr>
          <w:color w:val="000000"/>
          <w:szCs w:val="21"/>
        </w:rPr>
        <w:t>口头会议通知至少应包括上述第（一）、（二）项内容，以及情况紧急需要尽快召开董事会临时会议的说明。</w:t>
      </w:r>
    </w:p>
    <w:p w14:paraId="5BEB8D7C">
      <w:pPr>
        <w:numPr>
          <w:ilvl w:val="0"/>
          <w:numId w:val="2"/>
        </w:numPr>
        <w:tabs>
          <w:tab w:val="left" w:pos="0"/>
          <w:tab w:val="left" w:pos="1440"/>
        </w:tabs>
        <w:spacing w:line="360" w:lineRule="auto"/>
        <w:ind w:left="0" w:firstLine="482"/>
        <w:rPr>
          <w:rStyle w:val="14"/>
          <w:color w:val="000000"/>
          <w:sz w:val="21"/>
          <w:szCs w:val="21"/>
        </w:rPr>
      </w:pPr>
      <w:r>
        <w:rPr>
          <w:rStyle w:val="14"/>
          <w:sz w:val="21"/>
          <w:szCs w:val="21"/>
        </w:rPr>
        <w:t>董事会会议应当由董事本人出席，董事因故不能出席的，可以书面委托其他董事代为出席。委托书应当载明代理人的姓名、代理事项、授权范围和有效期限，并由委托人签名或盖章。</w:t>
      </w:r>
      <w:r>
        <w:rPr>
          <w:color w:val="000000"/>
          <w:szCs w:val="21"/>
        </w:rPr>
        <w:br w:type="textWrapping"/>
      </w:r>
      <w:r>
        <w:rPr>
          <w:rStyle w:val="14"/>
          <w:color w:val="000000"/>
          <w:sz w:val="21"/>
          <w:szCs w:val="21"/>
        </w:rPr>
        <w:t>　　代为出席会议的董事应当在授权范围内行使董事的权利。董事未出席董事会会议，亦未委托代表出席的，视为放弃在该次会议的投票表决权。</w:t>
      </w:r>
    </w:p>
    <w:p w14:paraId="769FBF09">
      <w:pPr>
        <w:numPr>
          <w:ilvl w:val="0"/>
          <w:numId w:val="2"/>
        </w:numPr>
        <w:tabs>
          <w:tab w:val="left" w:pos="0"/>
          <w:tab w:val="left" w:pos="1440"/>
        </w:tabs>
        <w:spacing w:line="360" w:lineRule="auto"/>
        <w:ind w:left="0" w:firstLine="482"/>
        <w:rPr>
          <w:rStyle w:val="14"/>
          <w:color w:val="000000"/>
          <w:sz w:val="21"/>
          <w:szCs w:val="21"/>
        </w:rPr>
      </w:pPr>
      <w:r>
        <w:rPr>
          <w:rStyle w:val="14"/>
          <w:sz w:val="21"/>
          <w:szCs w:val="21"/>
        </w:rPr>
        <w:t>董事会会议应当有过半数的董事出席方可举行。</w:t>
      </w:r>
    </w:p>
    <w:p w14:paraId="6970B92C">
      <w:pPr>
        <w:numPr>
          <w:ilvl w:val="0"/>
          <w:numId w:val="2"/>
        </w:numPr>
        <w:tabs>
          <w:tab w:val="left" w:pos="0"/>
          <w:tab w:val="left" w:pos="1440"/>
        </w:tabs>
        <w:spacing w:line="360" w:lineRule="auto"/>
        <w:ind w:left="0" w:firstLine="482"/>
        <w:rPr>
          <w:rStyle w:val="14"/>
          <w:color w:val="000000"/>
          <w:sz w:val="21"/>
          <w:szCs w:val="21"/>
        </w:rPr>
      </w:pPr>
      <w:r>
        <w:rPr>
          <w:rStyle w:val="14"/>
          <w:sz w:val="21"/>
          <w:szCs w:val="21"/>
        </w:rPr>
        <w:t>总经理、董事会秘书列席董事会会议；财务</w:t>
      </w:r>
      <w:r>
        <w:rPr>
          <w:rStyle w:val="14"/>
          <w:rFonts w:hint="eastAsia"/>
          <w:sz w:val="21"/>
          <w:szCs w:val="21"/>
        </w:rPr>
        <w:t>总监</w:t>
      </w:r>
      <w:r>
        <w:rPr>
          <w:rStyle w:val="14"/>
          <w:sz w:val="21"/>
          <w:szCs w:val="21"/>
        </w:rPr>
        <w:t>、副总经理可根据会议议案的需要经会议召集人同意后列席董事会会议。</w:t>
      </w:r>
    </w:p>
    <w:p w14:paraId="247CC565">
      <w:pPr>
        <w:pStyle w:val="2"/>
        <w:bidi w:val="0"/>
        <w:ind w:left="567" w:leftChars="0" w:hanging="567" w:firstLineChars="0"/>
        <w:rPr>
          <w:rFonts w:hint="eastAsia"/>
        </w:rPr>
      </w:pPr>
      <w:r>
        <w:rPr>
          <w:rFonts w:hint="eastAsia"/>
          <w:lang w:val="en-US" w:eastAsia="zh-CN"/>
        </w:rPr>
        <w:t xml:space="preserve"> </w:t>
      </w:r>
      <w:r>
        <w:rPr>
          <w:rFonts w:hint="eastAsia"/>
        </w:rPr>
        <w:t>议事程序和决议</w:t>
      </w:r>
    </w:p>
    <w:p w14:paraId="61AD898F">
      <w:pPr>
        <w:numPr>
          <w:ilvl w:val="0"/>
          <w:numId w:val="2"/>
        </w:numPr>
        <w:tabs>
          <w:tab w:val="left" w:pos="0"/>
          <w:tab w:val="left" w:pos="1440"/>
        </w:tabs>
        <w:spacing w:line="360" w:lineRule="auto"/>
        <w:ind w:left="0" w:firstLine="482"/>
        <w:rPr>
          <w:rStyle w:val="14"/>
          <w:color w:val="000000"/>
          <w:sz w:val="21"/>
          <w:szCs w:val="21"/>
        </w:rPr>
      </w:pPr>
      <w:r>
        <w:rPr>
          <w:kern w:val="0"/>
          <w:szCs w:val="21"/>
        </w:rPr>
        <w:t>董事会由董事长主持。董事长不能履行职务或不履行职务时，由半数以上董事共同推举的一名董事主持</w:t>
      </w:r>
      <w:r>
        <w:rPr>
          <w:rStyle w:val="14"/>
          <w:sz w:val="21"/>
          <w:szCs w:val="21"/>
        </w:rPr>
        <w:t>。</w:t>
      </w:r>
    </w:p>
    <w:p w14:paraId="598312EE">
      <w:pPr>
        <w:numPr>
          <w:ilvl w:val="0"/>
          <w:numId w:val="2"/>
        </w:numPr>
        <w:tabs>
          <w:tab w:val="left" w:pos="0"/>
          <w:tab w:val="left" w:pos="1440"/>
        </w:tabs>
        <w:spacing w:line="360" w:lineRule="auto"/>
        <w:ind w:left="0" w:firstLine="482"/>
        <w:rPr>
          <w:rStyle w:val="14"/>
          <w:color w:val="000000"/>
          <w:sz w:val="21"/>
          <w:szCs w:val="21"/>
        </w:rPr>
      </w:pPr>
      <w:r>
        <w:rPr>
          <w:rStyle w:val="14"/>
          <w:sz w:val="21"/>
          <w:szCs w:val="21"/>
        </w:rPr>
        <w:t>列入会议议程需要表决的议案，在进行表决前，应当经过认真审议讨论，董事可以自由发言，也可以以书面形式发表意见。</w:t>
      </w:r>
    </w:p>
    <w:p w14:paraId="147A2874">
      <w:pPr>
        <w:spacing w:line="360" w:lineRule="auto"/>
        <w:ind w:firstLine="450"/>
        <w:rPr>
          <w:rStyle w:val="14"/>
          <w:color w:val="000000"/>
          <w:sz w:val="21"/>
          <w:szCs w:val="21"/>
        </w:rPr>
      </w:pPr>
      <w:r>
        <w:rPr>
          <w:rStyle w:val="14"/>
          <w:color w:val="000000"/>
          <w:sz w:val="21"/>
          <w:szCs w:val="21"/>
        </w:rPr>
        <w:t>列席董事会会议的高级管理人员对董事会讨论的事项，可以发表自己的建议和意见，供与会董事决策参考。</w:t>
      </w:r>
    </w:p>
    <w:p w14:paraId="2D6EA483">
      <w:pPr>
        <w:numPr>
          <w:ilvl w:val="0"/>
          <w:numId w:val="2"/>
        </w:numPr>
        <w:tabs>
          <w:tab w:val="left" w:pos="0"/>
          <w:tab w:val="left" w:pos="1440"/>
        </w:tabs>
        <w:spacing w:line="360" w:lineRule="auto"/>
        <w:ind w:left="0" w:firstLine="482"/>
        <w:rPr>
          <w:color w:val="000000"/>
          <w:szCs w:val="21"/>
        </w:rPr>
      </w:pPr>
      <w:r>
        <w:rPr>
          <w:color w:val="000000"/>
          <w:szCs w:val="21"/>
        </w:rPr>
        <w:t>董事会决议表决方式为：</w:t>
      </w:r>
      <w:r>
        <w:rPr>
          <w:szCs w:val="21"/>
        </w:rPr>
        <w:t>投票表决。</w:t>
      </w:r>
    </w:p>
    <w:p w14:paraId="08A9FC2D">
      <w:pPr>
        <w:spacing w:line="360" w:lineRule="auto"/>
        <w:ind w:firstLine="420" w:firstLineChars="200"/>
        <w:rPr>
          <w:color w:val="000000"/>
          <w:szCs w:val="21"/>
        </w:rPr>
      </w:pPr>
      <w:r>
        <w:rPr>
          <w:color w:val="000000"/>
          <w:szCs w:val="21"/>
        </w:rPr>
        <w:t xml:space="preserve">董事会临时会议在保障董事充分表达意见的前提下，可以用其他方式进行并做出决议，并由参会董事签字。 </w:t>
      </w:r>
    </w:p>
    <w:p w14:paraId="7C3C01DE">
      <w:pPr>
        <w:numPr>
          <w:ilvl w:val="0"/>
          <w:numId w:val="2"/>
        </w:numPr>
        <w:tabs>
          <w:tab w:val="left" w:pos="0"/>
          <w:tab w:val="left" w:pos="1440"/>
        </w:tabs>
        <w:spacing w:line="360" w:lineRule="auto"/>
        <w:ind w:left="0" w:firstLine="482"/>
        <w:rPr>
          <w:rStyle w:val="14"/>
          <w:color w:val="000000"/>
          <w:sz w:val="21"/>
          <w:szCs w:val="21"/>
        </w:rPr>
      </w:pPr>
      <w:r>
        <w:rPr>
          <w:rStyle w:val="14"/>
          <w:color w:val="000000"/>
          <w:sz w:val="21"/>
          <w:szCs w:val="21"/>
        </w:rPr>
        <w:t>出席会议的董事应对所有列入会议议程的议案进行逐项表决，不得以任何理由搁置或不予表决。对同一事项有不同议案的，应以议案提出的时间顺序进行表决，根据表决结果做出决议。</w:t>
      </w:r>
    </w:p>
    <w:p w14:paraId="25209258">
      <w:pPr>
        <w:numPr>
          <w:ilvl w:val="0"/>
          <w:numId w:val="2"/>
        </w:numPr>
        <w:tabs>
          <w:tab w:val="left" w:pos="0"/>
          <w:tab w:val="left" w:pos="1440"/>
        </w:tabs>
        <w:spacing w:line="360" w:lineRule="auto"/>
        <w:ind w:left="0" w:firstLine="482"/>
        <w:rPr>
          <w:color w:val="000000"/>
          <w:szCs w:val="21"/>
        </w:rPr>
      </w:pPr>
      <w:r>
        <w:rPr>
          <w:szCs w:val="21"/>
        </w:rPr>
        <w:t>董事会形成的决议，除涉及股东会特别决议事项的，必须经全体董事的过半数通过。由董事会审批的担保事项，必须经出席董事会的三分之二以上董事审议通过。</w:t>
      </w:r>
    </w:p>
    <w:p w14:paraId="6D9AF4A3">
      <w:pPr>
        <w:tabs>
          <w:tab w:val="left" w:pos="1440"/>
        </w:tabs>
        <w:spacing w:line="360" w:lineRule="auto"/>
        <w:ind w:firstLine="525" w:firstLineChars="250"/>
        <w:rPr>
          <w:color w:val="000000"/>
          <w:szCs w:val="21"/>
        </w:rPr>
      </w:pPr>
      <w:r>
        <w:rPr>
          <w:szCs w:val="21"/>
        </w:rPr>
        <w:t>董事会就下列涉及股东会特别决议的事项作出决议的，必须经全体董事的三分之二以上通过，方可提交股东会审议：</w:t>
      </w:r>
    </w:p>
    <w:p w14:paraId="6CA7F3AB">
      <w:pPr>
        <w:tabs>
          <w:tab w:val="left" w:pos="6870"/>
        </w:tabs>
        <w:spacing w:line="400" w:lineRule="exact"/>
        <w:ind w:firstLine="420" w:firstLineChars="200"/>
        <w:rPr>
          <w:szCs w:val="22"/>
        </w:rPr>
      </w:pPr>
      <w:r>
        <w:rPr>
          <w:szCs w:val="22"/>
        </w:rPr>
        <w:t xml:space="preserve">（一）公司增加或者减少注册资本； </w:t>
      </w:r>
      <w:r>
        <w:rPr>
          <w:szCs w:val="22"/>
        </w:rPr>
        <w:tab/>
      </w:r>
    </w:p>
    <w:p w14:paraId="023BDB0A">
      <w:pPr>
        <w:spacing w:line="400" w:lineRule="exact"/>
        <w:ind w:firstLine="420" w:firstLineChars="200"/>
        <w:rPr>
          <w:szCs w:val="22"/>
        </w:rPr>
      </w:pPr>
      <w:r>
        <w:rPr>
          <w:szCs w:val="22"/>
        </w:rPr>
        <w:t xml:space="preserve">（二）公司的分立、合并、解散和清算； </w:t>
      </w:r>
    </w:p>
    <w:p w14:paraId="4D4EC21C">
      <w:pPr>
        <w:spacing w:line="400" w:lineRule="exact"/>
        <w:ind w:firstLine="420" w:firstLineChars="200"/>
        <w:rPr>
          <w:szCs w:val="22"/>
        </w:rPr>
      </w:pPr>
      <w:r>
        <w:rPr>
          <w:szCs w:val="22"/>
        </w:rPr>
        <w:t xml:space="preserve">（三）公司章程的修改； </w:t>
      </w:r>
    </w:p>
    <w:p w14:paraId="61797DD8">
      <w:pPr>
        <w:spacing w:line="400" w:lineRule="exact"/>
        <w:ind w:firstLine="420" w:firstLineChars="200"/>
        <w:rPr>
          <w:szCs w:val="22"/>
        </w:rPr>
      </w:pPr>
      <w:r>
        <w:rPr>
          <w:szCs w:val="22"/>
        </w:rPr>
        <w:t xml:space="preserve">（四）公司在一年内购买、出售重大资产或者担保金额超过公司最近一期经审计总资产30%的； </w:t>
      </w:r>
    </w:p>
    <w:p w14:paraId="0CDDB7DD">
      <w:pPr>
        <w:spacing w:line="400" w:lineRule="exact"/>
        <w:ind w:firstLine="420" w:firstLineChars="200"/>
        <w:outlineLvl w:val="9"/>
        <w:rPr>
          <w:szCs w:val="22"/>
        </w:rPr>
      </w:pPr>
      <w:r>
        <w:rPr>
          <w:szCs w:val="22"/>
        </w:rPr>
        <w:t xml:space="preserve">（五）股权激励计划； </w:t>
      </w:r>
    </w:p>
    <w:p w14:paraId="4B4EEADD">
      <w:pPr>
        <w:spacing w:line="400" w:lineRule="exact"/>
        <w:ind w:firstLine="420" w:firstLineChars="200"/>
        <w:outlineLvl w:val="9"/>
        <w:rPr>
          <w:color w:val="000000"/>
          <w:szCs w:val="24"/>
        </w:rPr>
      </w:pPr>
      <w:r>
        <w:rPr>
          <w:rFonts w:hint="eastAsia"/>
          <w:color w:val="000000"/>
        </w:rPr>
        <w:t>（六）公司年度股东会授权董事会决定向特定对象发行融资总额不超过人民币三亿元且不超过最近一年末净资产百分之二十的股票，该授权在下一年度股东会召开日失效；</w:t>
      </w:r>
    </w:p>
    <w:p w14:paraId="30E35E72">
      <w:pPr>
        <w:spacing w:line="400" w:lineRule="exact"/>
        <w:ind w:firstLine="420" w:firstLineChars="200"/>
        <w:outlineLvl w:val="9"/>
        <w:rPr>
          <w:rStyle w:val="10"/>
          <w:color w:val="000000"/>
          <w:sz w:val="21"/>
          <w:szCs w:val="22"/>
        </w:rPr>
      </w:pPr>
      <w:r>
        <w:rPr>
          <w:szCs w:val="22"/>
        </w:rPr>
        <w:t>（</w:t>
      </w:r>
      <w:r>
        <w:rPr>
          <w:rFonts w:hint="eastAsia"/>
          <w:szCs w:val="22"/>
        </w:rPr>
        <w:t>七</w:t>
      </w:r>
      <w:r>
        <w:rPr>
          <w:szCs w:val="22"/>
        </w:rPr>
        <w:t>）法律、行政法规或本章程规定的，以及股东会以普通决议认定会对公司产生重大影响的、需要以特别决议通过的其他事项。</w:t>
      </w:r>
    </w:p>
    <w:p w14:paraId="1DAB07FE">
      <w:pPr>
        <w:numPr>
          <w:ilvl w:val="0"/>
          <w:numId w:val="2"/>
        </w:numPr>
        <w:tabs>
          <w:tab w:val="left" w:pos="0"/>
          <w:tab w:val="left" w:pos="1440"/>
        </w:tabs>
        <w:spacing w:line="360" w:lineRule="auto"/>
        <w:ind w:left="0" w:firstLine="482"/>
        <w:rPr>
          <w:color w:val="000000"/>
          <w:szCs w:val="21"/>
        </w:rPr>
      </w:pPr>
      <w:r>
        <w:rPr>
          <w:color w:val="000000"/>
          <w:szCs w:val="21"/>
        </w:rPr>
        <w:t xml:space="preserve">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董事人数不足3人的，应将该事项提交股东会审议。 </w:t>
      </w:r>
    </w:p>
    <w:p w14:paraId="455E672D">
      <w:pPr>
        <w:numPr>
          <w:ilvl w:val="0"/>
          <w:numId w:val="2"/>
        </w:numPr>
        <w:tabs>
          <w:tab w:val="left" w:pos="0"/>
          <w:tab w:val="left" w:pos="1440"/>
        </w:tabs>
        <w:spacing w:line="360" w:lineRule="auto"/>
        <w:ind w:left="0" w:firstLine="482"/>
        <w:rPr>
          <w:szCs w:val="21"/>
        </w:rPr>
      </w:pPr>
      <w:r>
        <w:rPr>
          <w:color w:val="000000"/>
          <w:szCs w:val="21"/>
        </w:rPr>
        <w:t xml:space="preserve">董事会决议的表决，实行一人一票。 </w:t>
      </w:r>
    </w:p>
    <w:p w14:paraId="5BEEF9FB">
      <w:pPr>
        <w:numPr>
          <w:ilvl w:val="0"/>
          <w:numId w:val="2"/>
        </w:numPr>
        <w:tabs>
          <w:tab w:val="left" w:pos="0"/>
          <w:tab w:val="left" w:pos="1440"/>
        </w:tabs>
        <w:spacing w:line="360" w:lineRule="auto"/>
        <w:ind w:left="0" w:firstLine="482"/>
        <w:rPr>
          <w:rStyle w:val="14"/>
          <w:color w:val="000000"/>
          <w:sz w:val="24"/>
        </w:rPr>
      </w:pPr>
      <w:r>
        <w:rPr>
          <w:szCs w:val="21"/>
        </w:rPr>
        <w:t>会议主持人根据表决结果宣布会议决议是否通过，并应当在会上宣布表决结果。会议的表决结果载入会议记录。</w:t>
      </w:r>
    </w:p>
    <w:p w14:paraId="79F8E773">
      <w:pPr>
        <w:pStyle w:val="2"/>
        <w:bidi w:val="0"/>
        <w:ind w:left="567" w:leftChars="0" w:hanging="567" w:firstLineChars="0"/>
      </w:pPr>
      <w:r>
        <w:rPr>
          <w:rFonts w:hint="eastAsia"/>
          <w:lang w:val="en-US" w:eastAsia="zh-CN"/>
        </w:rPr>
        <w:t xml:space="preserve"> </w:t>
      </w:r>
      <w:r>
        <w:t>会议记录</w:t>
      </w:r>
    </w:p>
    <w:p w14:paraId="5CD41BBD">
      <w:pPr>
        <w:numPr>
          <w:ilvl w:val="0"/>
          <w:numId w:val="2"/>
        </w:numPr>
        <w:tabs>
          <w:tab w:val="left" w:pos="0"/>
          <w:tab w:val="left" w:pos="1440"/>
        </w:tabs>
        <w:spacing w:line="360" w:lineRule="auto"/>
        <w:ind w:left="0" w:firstLine="482"/>
        <w:rPr>
          <w:szCs w:val="21"/>
        </w:rPr>
      </w:pPr>
      <w:r>
        <w:rPr>
          <w:sz w:val="24"/>
          <w:cs/>
        </w:rPr>
        <w:t> </w:t>
      </w:r>
      <w:r>
        <w:rPr>
          <w:szCs w:val="21"/>
        </w:rPr>
        <w:t>董事会会议应当有记录，出席会议的董事、董事会秘书和记录人员应当在会议记录上签名。</w:t>
      </w:r>
    </w:p>
    <w:p w14:paraId="50391054">
      <w:pPr>
        <w:numPr>
          <w:ilvl w:val="0"/>
          <w:numId w:val="2"/>
        </w:numPr>
        <w:tabs>
          <w:tab w:val="left" w:pos="0"/>
          <w:tab w:val="left" w:pos="1440"/>
        </w:tabs>
        <w:spacing w:line="360" w:lineRule="auto"/>
        <w:ind w:left="0" w:firstLine="482"/>
        <w:rPr>
          <w:rStyle w:val="14"/>
          <w:color w:val="000000"/>
          <w:sz w:val="21"/>
          <w:szCs w:val="21"/>
        </w:rPr>
      </w:pPr>
      <w:r>
        <w:rPr>
          <w:szCs w:val="21"/>
          <w:cs/>
        </w:rPr>
        <w:t> </w:t>
      </w:r>
      <w:r>
        <w:rPr>
          <w:szCs w:val="21"/>
        </w:rPr>
        <w:t>董事会会议记录包括以下内容：</w:t>
      </w:r>
      <w:r>
        <w:rPr>
          <w:color w:val="000000"/>
          <w:szCs w:val="21"/>
        </w:rPr>
        <w:br w:type="textWrapping"/>
      </w:r>
      <w:r>
        <w:rPr>
          <w:rStyle w:val="14"/>
          <w:color w:val="000000"/>
          <w:sz w:val="21"/>
          <w:szCs w:val="21"/>
        </w:rPr>
        <w:t>　　（一）会议召开的日期、地点和召集人姓名；</w:t>
      </w:r>
      <w:r>
        <w:rPr>
          <w:color w:val="000000"/>
          <w:szCs w:val="21"/>
        </w:rPr>
        <w:br w:type="textWrapping"/>
      </w:r>
      <w:r>
        <w:rPr>
          <w:rStyle w:val="14"/>
          <w:color w:val="000000"/>
          <w:sz w:val="21"/>
          <w:szCs w:val="21"/>
        </w:rPr>
        <w:t>　　（二）出席董事的姓名以及受他人委托出席董事会的董事（代理人）姓名；</w:t>
      </w:r>
      <w:r>
        <w:rPr>
          <w:color w:val="000000"/>
          <w:szCs w:val="21"/>
        </w:rPr>
        <w:br w:type="textWrapping"/>
      </w:r>
      <w:r>
        <w:rPr>
          <w:color w:val="000000"/>
          <w:szCs w:val="21"/>
        </w:rPr>
        <w:t xml:space="preserve">    （三）</w:t>
      </w:r>
      <w:r>
        <w:rPr>
          <w:rStyle w:val="14"/>
          <w:color w:val="000000"/>
          <w:sz w:val="21"/>
          <w:szCs w:val="21"/>
        </w:rPr>
        <w:t>会议议程；</w:t>
      </w:r>
      <w:r>
        <w:rPr>
          <w:color w:val="000000"/>
          <w:szCs w:val="21"/>
        </w:rPr>
        <w:br w:type="textWrapping"/>
      </w:r>
      <w:r>
        <w:rPr>
          <w:rStyle w:val="14"/>
          <w:color w:val="000000"/>
          <w:sz w:val="21"/>
          <w:szCs w:val="21"/>
        </w:rPr>
        <w:t xml:space="preserve">    （四）董事发言要点；</w:t>
      </w:r>
      <w:r>
        <w:rPr>
          <w:color w:val="000000"/>
          <w:szCs w:val="21"/>
        </w:rPr>
        <w:br w:type="textWrapping"/>
      </w:r>
      <w:r>
        <w:rPr>
          <w:rStyle w:val="14"/>
          <w:color w:val="000000"/>
          <w:sz w:val="21"/>
          <w:szCs w:val="21"/>
        </w:rPr>
        <w:t xml:space="preserve">    （五）每一决议事项的表决方式和结果（表决结果应载明赞成、反对或弃权的票数）。</w:t>
      </w:r>
    </w:p>
    <w:p w14:paraId="38344B38">
      <w:pPr>
        <w:spacing w:line="360" w:lineRule="auto"/>
        <w:ind w:firstLine="450"/>
        <w:rPr>
          <w:rStyle w:val="14"/>
          <w:color w:val="000000"/>
          <w:sz w:val="21"/>
          <w:szCs w:val="21"/>
        </w:rPr>
      </w:pPr>
      <w:bookmarkStart w:id="1" w:name="_Hlk199426589"/>
      <w:r>
        <w:rPr>
          <w:rStyle w:val="14"/>
          <w:color w:val="000000"/>
          <w:sz w:val="21"/>
          <w:szCs w:val="21"/>
        </w:rPr>
        <w:t>（六）出席会议的董事签名。</w:t>
      </w:r>
    </w:p>
    <w:bookmarkEnd w:id="1"/>
    <w:p w14:paraId="493681FA">
      <w:pPr>
        <w:numPr>
          <w:ilvl w:val="0"/>
          <w:numId w:val="2"/>
        </w:numPr>
        <w:tabs>
          <w:tab w:val="left" w:pos="0"/>
          <w:tab w:val="left" w:pos="1440"/>
        </w:tabs>
        <w:spacing w:line="360" w:lineRule="auto"/>
        <w:ind w:left="0" w:firstLine="482"/>
        <w:rPr>
          <w:rStyle w:val="14"/>
          <w:color w:val="000000"/>
          <w:sz w:val="24"/>
        </w:rPr>
      </w:pPr>
      <w:r>
        <w:rPr>
          <w:rStyle w:val="14"/>
          <w:color w:val="000000"/>
          <w:sz w:val="21"/>
          <w:szCs w:val="21"/>
        </w:rPr>
        <w:t>董事会会议记录作为公司档案由董事会秘书保存。董事会会议记录的保存期限不少于十年。</w:t>
      </w:r>
    </w:p>
    <w:p w14:paraId="4B253D78">
      <w:pPr>
        <w:pStyle w:val="2"/>
        <w:bidi w:val="0"/>
        <w:ind w:left="567" w:leftChars="0" w:hanging="567" w:firstLineChars="0"/>
      </w:pPr>
      <w:r>
        <w:rPr>
          <w:rFonts w:hint="eastAsia"/>
          <w:lang w:val="en-US" w:eastAsia="zh-CN"/>
        </w:rPr>
        <w:t xml:space="preserve"> </w:t>
      </w:r>
      <w:r>
        <w:t>会议决议的执行</w:t>
      </w:r>
    </w:p>
    <w:p w14:paraId="0ADB7280">
      <w:pPr>
        <w:numPr>
          <w:ilvl w:val="0"/>
          <w:numId w:val="2"/>
        </w:numPr>
        <w:tabs>
          <w:tab w:val="left" w:pos="0"/>
          <w:tab w:val="left" w:pos="1440"/>
        </w:tabs>
        <w:spacing w:line="360" w:lineRule="auto"/>
        <w:ind w:left="0" w:firstLine="482"/>
        <w:rPr>
          <w:rStyle w:val="14"/>
          <w:b/>
          <w:color w:val="000000"/>
          <w:sz w:val="24"/>
        </w:rPr>
      </w:pPr>
      <w:r>
        <w:rPr>
          <w:rStyle w:val="14"/>
          <w:color w:val="000000"/>
          <w:sz w:val="21"/>
          <w:szCs w:val="21"/>
        </w:rPr>
        <w:t>公司总经理对董事会负责，组织实施董事会决议，并将实施情况及实施过程中存在的问题向董事会报告。</w:t>
      </w:r>
    </w:p>
    <w:p w14:paraId="1FC442B0">
      <w:pPr>
        <w:pStyle w:val="2"/>
        <w:bidi w:val="0"/>
        <w:ind w:left="567" w:leftChars="0" w:hanging="567" w:firstLineChars="0"/>
      </w:pPr>
      <w:r>
        <w:rPr>
          <w:rFonts w:hint="eastAsia"/>
          <w:lang w:val="en-US" w:eastAsia="zh-CN"/>
        </w:rPr>
        <w:t xml:space="preserve"> </w:t>
      </w:r>
      <w:r>
        <w:t>附则</w:t>
      </w:r>
    </w:p>
    <w:p w14:paraId="473F1787">
      <w:pPr>
        <w:numPr>
          <w:ilvl w:val="0"/>
          <w:numId w:val="2"/>
        </w:numPr>
        <w:tabs>
          <w:tab w:val="left" w:pos="0"/>
          <w:tab w:val="left" w:pos="1440"/>
        </w:tabs>
        <w:spacing w:line="360" w:lineRule="auto"/>
        <w:ind w:left="0" w:firstLine="482"/>
        <w:rPr>
          <w:rStyle w:val="14"/>
          <w:sz w:val="21"/>
          <w:szCs w:val="21"/>
        </w:rPr>
      </w:pPr>
      <w:r>
        <w:rPr>
          <w:rStyle w:val="14"/>
          <w:sz w:val="21"/>
          <w:szCs w:val="21"/>
        </w:rPr>
        <w:t>本规则所称“以上”、“以内”、“以下”，都含本数；“不满”、“超过”、“低于”、“多于”不含本数。</w:t>
      </w:r>
    </w:p>
    <w:p w14:paraId="5A767BB8">
      <w:pPr>
        <w:numPr>
          <w:ilvl w:val="0"/>
          <w:numId w:val="2"/>
        </w:numPr>
        <w:tabs>
          <w:tab w:val="left" w:pos="0"/>
          <w:tab w:val="left" w:pos="1440"/>
        </w:tabs>
        <w:spacing w:line="360" w:lineRule="auto"/>
        <w:ind w:left="0" w:firstLine="482"/>
        <w:rPr>
          <w:color w:val="000000"/>
          <w:szCs w:val="21"/>
        </w:rPr>
      </w:pPr>
      <w:r>
        <w:rPr>
          <w:rFonts w:hint="eastAsia"/>
          <w:color w:val="000000"/>
          <w:szCs w:val="21"/>
        </w:rPr>
        <w:t>本</w:t>
      </w:r>
      <w:r>
        <w:rPr>
          <w:rFonts w:hint="eastAsia"/>
          <w:color w:val="000000"/>
          <w:szCs w:val="21"/>
          <w:lang w:val="en-US" w:eastAsia="zh-CN"/>
        </w:rPr>
        <w:t>规则</w:t>
      </w:r>
      <w:r>
        <w:rPr>
          <w:rFonts w:hint="eastAsia"/>
          <w:color w:val="000000"/>
          <w:szCs w:val="21"/>
        </w:rPr>
        <w:t>未尽事宜，按有关法律、行政法规、中国证监会和深圳证券交易所的有关规定、《公司章程》执行。如遇国家法律、法规、规范性文件和《公司章程》修订，本</w:t>
      </w:r>
      <w:r>
        <w:rPr>
          <w:rFonts w:hint="eastAsia"/>
          <w:color w:val="000000"/>
          <w:szCs w:val="21"/>
          <w:lang w:val="en-US" w:eastAsia="zh-CN"/>
        </w:rPr>
        <w:t>规则</w:t>
      </w:r>
      <w:r>
        <w:rPr>
          <w:rFonts w:hint="eastAsia"/>
          <w:color w:val="000000"/>
          <w:szCs w:val="21"/>
        </w:rPr>
        <w:t>内容与之抵触时，应按有关法律、行政法规、中国证监会和深圳证券交易所的有关规定和《公司章程》执行，并及时进行修订。</w:t>
      </w:r>
    </w:p>
    <w:p w14:paraId="6510166A">
      <w:pPr>
        <w:numPr>
          <w:ilvl w:val="0"/>
          <w:numId w:val="2"/>
        </w:numPr>
        <w:tabs>
          <w:tab w:val="left" w:pos="0"/>
          <w:tab w:val="left" w:pos="1440"/>
        </w:tabs>
        <w:spacing w:line="360" w:lineRule="auto"/>
        <w:ind w:left="0" w:firstLine="482"/>
        <w:rPr>
          <w:color w:val="000000"/>
          <w:szCs w:val="21"/>
        </w:rPr>
      </w:pPr>
      <w:r>
        <w:rPr>
          <w:rFonts w:hint="eastAsia"/>
          <w:color w:val="000000"/>
          <w:szCs w:val="21"/>
        </w:rPr>
        <w:t>本</w:t>
      </w:r>
      <w:r>
        <w:rPr>
          <w:rFonts w:hint="eastAsia"/>
          <w:color w:val="000000"/>
          <w:szCs w:val="21"/>
          <w:lang w:val="en-US" w:eastAsia="zh-CN"/>
        </w:rPr>
        <w:t>规则</w:t>
      </w:r>
      <w:r>
        <w:rPr>
          <w:rFonts w:hint="eastAsia"/>
          <w:color w:val="000000"/>
          <w:szCs w:val="21"/>
        </w:rPr>
        <w:t>由公司董事会制定，并由董事会负责修订、解释。</w:t>
      </w:r>
    </w:p>
    <w:p w14:paraId="0E752E58">
      <w:pPr>
        <w:numPr>
          <w:ilvl w:val="0"/>
          <w:numId w:val="2"/>
        </w:numPr>
        <w:tabs>
          <w:tab w:val="left" w:pos="0"/>
          <w:tab w:val="left" w:pos="1440"/>
        </w:tabs>
        <w:spacing w:line="360" w:lineRule="auto"/>
        <w:ind w:left="0" w:firstLine="482"/>
        <w:rPr>
          <w:color w:val="000000"/>
          <w:szCs w:val="21"/>
        </w:rPr>
      </w:pPr>
      <w:r>
        <w:rPr>
          <w:rFonts w:hint="eastAsia"/>
          <w:color w:val="000000"/>
          <w:szCs w:val="21"/>
        </w:rPr>
        <w:t>本规则自公司股东会审议通过之日起生效施行，修改时亦同。</w:t>
      </w:r>
    </w:p>
    <w:p w14:paraId="407F9A0B">
      <w:pPr>
        <w:spacing w:line="360" w:lineRule="auto"/>
        <w:ind w:firstLine="482"/>
        <w:rPr>
          <w:color w:val="000000"/>
          <w:szCs w:val="21"/>
        </w:rPr>
      </w:pPr>
    </w:p>
    <w:p w14:paraId="7A457B0C">
      <w:pPr>
        <w:spacing w:line="360" w:lineRule="auto"/>
        <w:ind w:firstLine="482"/>
        <w:rPr>
          <w:color w:val="000000"/>
          <w:szCs w:val="21"/>
        </w:rPr>
      </w:pPr>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D927">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3</w:t>
    </w:r>
    <w:r>
      <w:fldChar w:fldCharType="end"/>
    </w:r>
  </w:p>
  <w:p w14:paraId="4658A6E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7DC08">
    <w:pPr>
      <w:pStyle w:val="6"/>
      <w:framePr w:wrap="around" w:vAnchor="text" w:hAnchor="margin" w:xAlign="center" w:y="1"/>
      <w:rPr>
        <w:rStyle w:val="11"/>
      </w:rPr>
    </w:pPr>
    <w:r>
      <w:fldChar w:fldCharType="begin"/>
    </w:r>
    <w:r>
      <w:rPr>
        <w:rStyle w:val="11"/>
      </w:rPr>
      <w:instrText xml:space="preserve">PAGE  </w:instrText>
    </w:r>
    <w:r>
      <w:fldChar w:fldCharType="end"/>
    </w:r>
  </w:p>
  <w:p w14:paraId="5791017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C0A12">
    <w:pPr>
      <w:pStyle w:val="7"/>
      <w:pBdr>
        <w:bottom w:val="none" w:color="auto" w:sz="0" w:space="1"/>
      </w:pBdr>
      <w:ind w:firstLine="720" w:firstLineChars="400"/>
      <w:jc w:val="right"/>
      <w:rPr>
        <w:rFonts w:hint="eastAsia" w:ascii="楷体" w:hAnsi="楷体" w:eastAsia="楷体" w:cs="楷体"/>
        <w:sz w:val="16"/>
        <w:szCs w:val="16"/>
      </w:rPr>
    </w:pPr>
    <w:r>
      <w:rPr>
        <w:rFonts w:hint="eastAsia"/>
      </w:rPr>
      <w:t xml:space="preserve">                                                              </w:t>
    </w:r>
    <w:r>
      <w:rPr>
        <w:rFonts w:hint="eastAsia"/>
        <w:sz w:val="21"/>
        <w:szCs w:val="21"/>
      </w:rP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7E81F"/>
    <w:multiLevelType w:val="singleLevel"/>
    <w:tmpl w:val="05C7E81F"/>
    <w:lvl w:ilvl="0" w:tentative="0">
      <w:start w:val="1"/>
      <w:numFmt w:val="chineseCounting"/>
      <w:pStyle w:val="2"/>
      <w:lvlText w:val="第%1章"/>
      <w:lvlJc w:val="left"/>
      <w:pPr>
        <w:ind w:left="567" w:leftChars="0" w:hanging="567" w:firstLineChars="0"/>
      </w:pPr>
      <w:rPr>
        <w:rFonts w:hint="eastAsia"/>
        <w:sz w:val="24"/>
        <w:szCs w:val="24"/>
      </w:rPr>
    </w:lvl>
  </w:abstractNum>
  <w:abstractNum w:abstractNumId="1">
    <w:nsid w:val="48E06B87"/>
    <w:multiLevelType w:val="multilevel"/>
    <w:tmpl w:val="48E06B87"/>
    <w:lvl w:ilvl="0" w:tentative="0">
      <w:start w:val="1"/>
      <w:numFmt w:val="chineseCountingThousand"/>
      <w:lvlText w:val="第%1条"/>
      <w:lvlJc w:val="left"/>
      <w:pPr>
        <w:tabs>
          <w:tab w:val="left" w:pos="1407"/>
        </w:tabs>
        <w:ind w:left="1407" w:hanging="840"/>
      </w:pPr>
      <w:rPr>
        <w:rFonts w:hint="eastAsia"/>
        <w:b/>
        <w:sz w:val="21"/>
        <w:szCs w:val="21"/>
        <w:lang w:val="en-US"/>
      </w:rPr>
    </w:lvl>
    <w:lvl w:ilvl="1" w:tentative="0">
      <w:start w:val="1"/>
      <w:numFmt w:val="japaneseCounting"/>
      <w:lvlText w:val="(%2)"/>
      <w:lvlJc w:val="left"/>
      <w:pPr>
        <w:tabs>
          <w:tab w:val="left" w:pos="840"/>
        </w:tabs>
        <w:ind w:left="840" w:hanging="420"/>
      </w:pPr>
      <w:rPr>
        <w:rFonts w:hint="eastAsia"/>
      </w:rPr>
    </w:lvl>
    <w:lvl w:ilvl="2" w:tentative="0">
      <w:start w:val="1"/>
      <w:numFmt w:val="japaneseCounting"/>
      <w:lvlText w:val="（%3）"/>
      <w:lvlJc w:val="left"/>
      <w:pPr>
        <w:tabs>
          <w:tab w:val="left" w:pos="1560"/>
        </w:tabs>
        <w:ind w:left="1560" w:hanging="720"/>
      </w:pPr>
      <w:rPr>
        <w:rFonts w:hint="eastAsia"/>
      </w:rPr>
    </w:lvl>
    <w:lvl w:ilvl="3" w:tentative="0">
      <w:start w:val="1"/>
      <w:numFmt w:val="chineseCountingThousand"/>
      <w:lvlText w:val="第%4条"/>
      <w:lvlJc w:val="left"/>
      <w:pPr>
        <w:tabs>
          <w:tab w:val="left" w:pos="1830"/>
        </w:tabs>
        <w:ind w:left="1830" w:hanging="1470"/>
      </w:pPr>
      <w:rPr>
        <w:rFonts w:hint="default"/>
        <w:b/>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4MDAzNjNiM2EwYjNjY2VkN2I2ZWY4OTg5YTA1ZWYifQ=="/>
    <w:docVar w:name="metasota_documentID" w:val="8630448873171685376"/>
  </w:docVars>
  <w:rsids>
    <w:rsidRoot w:val="009E7125"/>
    <w:rsid w:val="000172F9"/>
    <w:rsid w:val="0003260E"/>
    <w:rsid w:val="0004116F"/>
    <w:rsid w:val="00042D13"/>
    <w:rsid w:val="00045B45"/>
    <w:rsid w:val="00050B8E"/>
    <w:rsid w:val="000544B0"/>
    <w:rsid w:val="00056C00"/>
    <w:rsid w:val="00076523"/>
    <w:rsid w:val="00081515"/>
    <w:rsid w:val="0008265B"/>
    <w:rsid w:val="0008656C"/>
    <w:rsid w:val="00092033"/>
    <w:rsid w:val="000B2AF7"/>
    <w:rsid w:val="000D1CF2"/>
    <w:rsid w:val="000D78BA"/>
    <w:rsid w:val="000E224D"/>
    <w:rsid w:val="000E4795"/>
    <w:rsid w:val="00116BA3"/>
    <w:rsid w:val="00132E49"/>
    <w:rsid w:val="00151E01"/>
    <w:rsid w:val="00185899"/>
    <w:rsid w:val="00190CB4"/>
    <w:rsid w:val="00194CB1"/>
    <w:rsid w:val="001A6DD9"/>
    <w:rsid w:val="001A7DA2"/>
    <w:rsid w:val="001B5147"/>
    <w:rsid w:val="001C1DBB"/>
    <w:rsid w:val="001C2EF6"/>
    <w:rsid w:val="001D48B6"/>
    <w:rsid w:val="001E6D4B"/>
    <w:rsid w:val="0020457F"/>
    <w:rsid w:val="00232FEB"/>
    <w:rsid w:val="00242514"/>
    <w:rsid w:val="00252D0D"/>
    <w:rsid w:val="00262A03"/>
    <w:rsid w:val="00266C51"/>
    <w:rsid w:val="0028024F"/>
    <w:rsid w:val="002A6FA1"/>
    <w:rsid w:val="002B567B"/>
    <w:rsid w:val="002E03D8"/>
    <w:rsid w:val="002E325C"/>
    <w:rsid w:val="002E387B"/>
    <w:rsid w:val="002F6E96"/>
    <w:rsid w:val="003026B4"/>
    <w:rsid w:val="00305CFE"/>
    <w:rsid w:val="00307EA1"/>
    <w:rsid w:val="00321F9A"/>
    <w:rsid w:val="0034116E"/>
    <w:rsid w:val="0034231C"/>
    <w:rsid w:val="00344C36"/>
    <w:rsid w:val="00360DDF"/>
    <w:rsid w:val="00375E8D"/>
    <w:rsid w:val="00383707"/>
    <w:rsid w:val="0039605F"/>
    <w:rsid w:val="003A69F7"/>
    <w:rsid w:val="003B4225"/>
    <w:rsid w:val="003D6F52"/>
    <w:rsid w:val="003E33B0"/>
    <w:rsid w:val="004053FF"/>
    <w:rsid w:val="00425C82"/>
    <w:rsid w:val="00433342"/>
    <w:rsid w:val="00466A80"/>
    <w:rsid w:val="004B1D86"/>
    <w:rsid w:val="004C0D77"/>
    <w:rsid w:val="004C3FF0"/>
    <w:rsid w:val="004D286E"/>
    <w:rsid w:val="004E336E"/>
    <w:rsid w:val="004F5808"/>
    <w:rsid w:val="004F7909"/>
    <w:rsid w:val="005000BA"/>
    <w:rsid w:val="005015EE"/>
    <w:rsid w:val="00505D65"/>
    <w:rsid w:val="00593CFB"/>
    <w:rsid w:val="0059787A"/>
    <w:rsid w:val="005A35AF"/>
    <w:rsid w:val="005A3769"/>
    <w:rsid w:val="005C612F"/>
    <w:rsid w:val="005D5CDE"/>
    <w:rsid w:val="005E00FC"/>
    <w:rsid w:val="00602006"/>
    <w:rsid w:val="00615F20"/>
    <w:rsid w:val="00631BBB"/>
    <w:rsid w:val="0065717D"/>
    <w:rsid w:val="006605BE"/>
    <w:rsid w:val="006920B9"/>
    <w:rsid w:val="0069598B"/>
    <w:rsid w:val="006B037E"/>
    <w:rsid w:val="006B20EE"/>
    <w:rsid w:val="006E1749"/>
    <w:rsid w:val="006F6204"/>
    <w:rsid w:val="006F7A37"/>
    <w:rsid w:val="00710D6F"/>
    <w:rsid w:val="00723BC9"/>
    <w:rsid w:val="00740B1C"/>
    <w:rsid w:val="007433F2"/>
    <w:rsid w:val="00746AE2"/>
    <w:rsid w:val="007632D2"/>
    <w:rsid w:val="007713FF"/>
    <w:rsid w:val="007843B8"/>
    <w:rsid w:val="00784F30"/>
    <w:rsid w:val="007B3B36"/>
    <w:rsid w:val="007B641B"/>
    <w:rsid w:val="007C72FB"/>
    <w:rsid w:val="007E1FC1"/>
    <w:rsid w:val="00800FC1"/>
    <w:rsid w:val="008226DE"/>
    <w:rsid w:val="008324FD"/>
    <w:rsid w:val="0083782A"/>
    <w:rsid w:val="00876915"/>
    <w:rsid w:val="00882C17"/>
    <w:rsid w:val="00884F50"/>
    <w:rsid w:val="008A3B33"/>
    <w:rsid w:val="008A585E"/>
    <w:rsid w:val="008A6692"/>
    <w:rsid w:val="008A70D6"/>
    <w:rsid w:val="008B7217"/>
    <w:rsid w:val="008C439E"/>
    <w:rsid w:val="008D1F97"/>
    <w:rsid w:val="008F487C"/>
    <w:rsid w:val="009172CF"/>
    <w:rsid w:val="009325C5"/>
    <w:rsid w:val="0094031D"/>
    <w:rsid w:val="00962D4F"/>
    <w:rsid w:val="009703FA"/>
    <w:rsid w:val="00982E6F"/>
    <w:rsid w:val="009859C5"/>
    <w:rsid w:val="009A3864"/>
    <w:rsid w:val="009B1795"/>
    <w:rsid w:val="009C6671"/>
    <w:rsid w:val="009E2B17"/>
    <w:rsid w:val="009E2C78"/>
    <w:rsid w:val="009E7125"/>
    <w:rsid w:val="009F3B07"/>
    <w:rsid w:val="009F5C9D"/>
    <w:rsid w:val="00A025A1"/>
    <w:rsid w:val="00A2194B"/>
    <w:rsid w:val="00A346C2"/>
    <w:rsid w:val="00A51C72"/>
    <w:rsid w:val="00A975E1"/>
    <w:rsid w:val="00AE1B76"/>
    <w:rsid w:val="00AF527A"/>
    <w:rsid w:val="00B073EF"/>
    <w:rsid w:val="00B13466"/>
    <w:rsid w:val="00B13982"/>
    <w:rsid w:val="00B20084"/>
    <w:rsid w:val="00B20F6F"/>
    <w:rsid w:val="00B46B13"/>
    <w:rsid w:val="00B51BD4"/>
    <w:rsid w:val="00B708FA"/>
    <w:rsid w:val="00B77983"/>
    <w:rsid w:val="00B80EB4"/>
    <w:rsid w:val="00B85940"/>
    <w:rsid w:val="00B877CC"/>
    <w:rsid w:val="00BA1E12"/>
    <w:rsid w:val="00BB2915"/>
    <w:rsid w:val="00BB388E"/>
    <w:rsid w:val="00BC31B6"/>
    <w:rsid w:val="00BD56C1"/>
    <w:rsid w:val="00BE0B3E"/>
    <w:rsid w:val="00C052A1"/>
    <w:rsid w:val="00C405B0"/>
    <w:rsid w:val="00C5108B"/>
    <w:rsid w:val="00C57352"/>
    <w:rsid w:val="00C60FE4"/>
    <w:rsid w:val="00C76FBE"/>
    <w:rsid w:val="00C93835"/>
    <w:rsid w:val="00CE5CEB"/>
    <w:rsid w:val="00D0701D"/>
    <w:rsid w:val="00D079C1"/>
    <w:rsid w:val="00D21737"/>
    <w:rsid w:val="00D56EF7"/>
    <w:rsid w:val="00D7520E"/>
    <w:rsid w:val="00D93D0A"/>
    <w:rsid w:val="00DA5F70"/>
    <w:rsid w:val="00DD7A2E"/>
    <w:rsid w:val="00DE70EF"/>
    <w:rsid w:val="00E1684E"/>
    <w:rsid w:val="00E4306E"/>
    <w:rsid w:val="00E51223"/>
    <w:rsid w:val="00E55C86"/>
    <w:rsid w:val="00E56BB9"/>
    <w:rsid w:val="00E722A6"/>
    <w:rsid w:val="00E73170"/>
    <w:rsid w:val="00E91981"/>
    <w:rsid w:val="00E9352B"/>
    <w:rsid w:val="00EC32B0"/>
    <w:rsid w:val="00ED4D5A"/>
    <w:rsid w:val="00EE047E"/>
    <w:rsid w:val="00EE19E9"/>
    <w:rsid w:val="00F02ADF"/>
    <w:rsid w:val="00F07221"/>
    <w:rsid w:val="00F155F5"/>
    <w:rsid w:val="00F24B68"/>
    <w:rsid w:val="00F51A5C"/>
    <w:rsid w:val="00F63F95"/>
    <w:rsid w:val="00F73C33"/>
    <w:rsid w:val="00FA45EC"/>
    <w:rsid w:val="00FF1DA1"/>
    <w:rsid w:val="01027FD7"/>
    <w:rsid w:val="01983C6F"/>
    <w:rsid w:val="02600240"/>
    <w:rsid w:val="042A0CA0"/>
    <w:rsid w:val="043F6039"/>
    <w:rsid w:val="08F8136C"/>
    <w:rsid w:val="0B7C073E"/>
    <w:rsid w:val="0B7E0191"/>
    <w:rsid w:val="0D20483F"/>
    <w:rsid w:val="134947B2"/>
    <w:rsid w:val="18E1675A"/>
    <w:rsid w:val="192F3E36"/>
    <w:rsid w:val="19FB6F0E"/>
    <w:rsid w:val="1A5C1097"/>
    <w:rsid w:val="20A13ADE"/>
    <w:rsid w:val="269F109C"/>
    <w:rsid w:val="27225291"/>
    <w:rsid w:val="289232E5"/>
    <w:rsid w:val="295703E0"/>
    <w:rsid w:val="2D340FC8"/>
    <w:rsid w:val="2DA37249"/>
    <w:rsid w:val="2DE95C61"/>
    <w:rsid w:val="2F5838B9"/>
    <w:rsid w:val="30BA4FD6"/>
    <w:rsid w:val="32E75249"/>
    <w:rsid w:val="395977AE"/>
    <w:rsid w:val="3BCB4484"/>
    <w:rsid w:val="3C494EF4"/>
    <w:rsid w:val="3C792E79"/>
    <w:rsid w:val="3D4B049C"/>
    <w:rsid w:val="40147904"/>
    <w:rsid w:val="416713B7"/>
    <w:rsid w:val="43ED34FE"/>
    <w:rsid w:val="462908AA"/>
    <w:rsid w:val="4690117F"/>
    <w:rsid w:val="48D766C0"/>
    <w:rsid w:val="537F3A7A"/>
    <w:rsid w:val="54D1276A"/>
    <w:rsid w:val="55A82D9F"/>
    <w:rsid w:val="56C31EE8"/>
    <w:rsid w:val="57580313"/>
    <w:rsid w:val="592A4855"/>
    <w:rsid w:val="5C653F19"/>
    <w:rsid w:val="5F3A2FEC"/>
    <w:rsid w:val="62CB0224"/>
    <w:rsid w:val="66CF6E14"/>
    <w:rsid w:val="67060527"/>
    <w:rsid w:val="67822461"/>
    <w:rsid w:val="6A0266D1"/>
    <w:rsid w:val="6F3C270D"/>
    <w:rsid w:val="6F63474A"/>
    <w:rsid w:val="70E6282E"/>
    <w:rsid w:val="71EB4575"/>
    <w:rsid w:val="740407B7"/>
    <w:rsid w:val="74C5208D"/>
    <w:rsid w:val="754A57A3"/>
    <w:rsid w:val="76051E69"/>
    <w:rsid w:val="76920715"/>
    <w:rsid w:val="77C460AF"/>
    <w:rsid w:val="79FF3C35"/>
    <w:rsid w:val="7B76471B"/>
    <w:rsid w:val="7BE225A5"/>
    <w:rsid w:val="7D304D71"/>
    <w:rsid w:val="7DA74A59"/>
    <w:rsid w:val="7FFD6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val="0"/>
      <w:keepLines w:val="0"/>
      <w:numPr>
        <w:ilvl w:val="0"/>
        <w:numId w:val="1"/>
      </w:numPr>
      <w:spacing w:before="100" w:beforeLines="100" w:beforeAutospacing="0" w:after="100" w:afterLines="100" w:afterAutospacing="0" w:line="360" w:lineRule="auto"/>
      <w:ind w:left="0" w:firstLine="0"/>
      <w:jc w:val="center"/>
      <w:outlineLvl w:val="0"/>
    </w:pPr>
    <w:rPr>
      <w:rFonts w:ascii="宋体" w:hAnsi="宋体" w:cs="宋体"/>
      <w:b/>
      <w:bCs/>
      <w:kern w:val="44"/>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ody Text Indent"/>
    <w:basedOn w:val="1"/>
    <w:qFormat/>
    <w:uiPriority w:val="0"/>
    <w:pPr>
      <w:adjustRightInd w:val="0"/>
      <w:spacing w:line="300" w:lineRule="auto"/>
      <w:ind w:left="570"/>
      <w:textAlignment w:val="baseline"/>
    </w:pPr>
    <w:rPr>
      <w:rFonts w:ascii="宋体"/>
      <w:color w:val="FF0000"/>
      <w:kern w:val="0"/>
      <w:sz w:val="28"/>
      <w:szCs w:val="20"/>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semiHidden/>
    <w:qFormat/>
    <w:uiPriority w:val="0"/>
    <w:rPr>
      <w:b/>
      <w:bCs/>
    </w:rPr>
  </w:style>
  <w:style w:type="character" w:styleId="11">
    <w:name w:val="page number"/>
    <w:qFormat/>
    <w:uiPriority w:val="0"/>
  </w:style>
  <w:style w:type="character" w:styleId="12">
    <w:name w:val="annotation reference"/>
    <w:qFormat/>
    <w:uiPriority w:val="0"/>
    <w:rPr>
      <w:sz w:val="21"/>
      <w:szCs w:val="21"/>
    </w:rPr>
  </w:style>
  <w:style w:type="character" w:customStyle="1" w:styleId="13">
    <w:name w:val="批注文字 字符"/>
    <w:link w:val="3"/>
    <w:qFormat/>
    <w:uiPriority w:val="0"/>
    <w:rPr>
      <w:kern w:val="2"/>
      <w:sz w:val="21"/>
      <w:szCs w:val="24"/>
    </w:rPr>
  </w:style>
  <w:style w:type="character" w:customStyle="1" w:styleId="14">
    <w:name w:val="big1"/>
    <w:qFormat/>
    <w:uiPriority w:val="0"/>
    <w:rPr>
      <w:sz w:val="22"/>
      <w:szCs w:val="22"/>
    </w:rPr>
  </w:style>
  <w:style w:type="paragraph" w:customStyle="1" w:styleId="1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Pages>
  <Words>4861</Words>
  <Characters>4923</Characters>
  <Lines>102</Lines>
  <Paragraphs>122</Paragraphs>
  <TotalTime>2</TotalTime>
  <ScaleCrop>false</ScaleCrop>
  <LinksUpToDate>false</LinksUpToDate>
  <CharactersWithSpaces>4984</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2023-12-29T09:22:00Z</dcterms:created>
  <dc:creator>微软用户</dc:creator>
  <cp:lastModifiedBy>cdq</cp:lastModifiedBy>
  <cp:lastPrinted>2015-08-21T06:35:00Z</cp:lastPrinted>
  <dcterms:modified xsi:type="dcterms:W3CDTF">2025-10-28T00:57:25Z</dcterms:modified>
  <dc:title>福建广生堂药业股份有限公司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57575236FBC743A5A203E4AF2C6B644A</vt:lpwstr>
  </property>
  <property fmtid="{D5CDD505-2E9C-101B-9397-08002B2CF9AE}" pid="4" name="KSOTemplateDocerSaveRecord">
    <vt:lpwstr>eyJoZGlkIjoiY2Q4MDAzNjNiM2EwYjNjY2VkN2I2ZWY4OTg5YTA1ZWYiLCJ1c2VySWQiOiIxMzk5OTUwMzQxIn0=</vt:lpwstr>
  </property>
</Properties>
</file>